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7B52" w:rsidRDefault="00277B52" w:rsidP="00277B52">
      <w:pPr>
        <w:pStyle w:val="ad"/>
        <w:ind w:firstLine="0"/>
        <w:jc w:val="center"/>
        <w:rPr>
          <w:rFonts w:ascii="方正小标宋_GBK" w:eastAsia="方正小标宋_GBK" w:cs="方正小标宋_GBK"/>
          <w:color w:val="7F00FF"/>
          <w:sz w:val="30"/>
          <w:szCs w:val="30"/>
        </w:rPr>
      </w:pPr>
      <w:r>
        <w:rPr>
          <w:rFonts w:ascii="方正小标宋_GBK" w:eastAsia="方正小标宋_GBK" w:cs="方正小标宋_GBK" w:hint="eastAsia"/>
          <w:color w:val="7F00FF"/>
          <w:sz w:val="30"/>
          <w:szCs w:val="30"/>
        </w:rPr>
        <w:t>改良提上睑肌</w:t>
      </w:r>
      <w:r>
        <w:rPr>
          <w:rFonts w:ascii="方正小标宋_GBK" w:eastAsia="方正小标宋_GBK" w:cs="方正小标宋_GBK"/>
          <w:color w:val="7F00FF"/>
          <w:sz w:val="30"/>
          <w:szCs w:val="30"/>
        </w:rPr>
        <w:t>-</w:t>
      </w:r>
      <w:r>
        <w:rPr>
          <w:rFonts w:ascii="方正小标宋_GBK" w:eastAsia="方正小标宋_GBK" w:cs="方正小标宋_GBK" w:hint="eastAsia"/>
          <w:color w:val="7F00FF"/>
          <w:sz w:val="30"/>
          <w:szCs w:val="30"/>
        </w:rPr>
        <w:t>眼轮匝肌固定法睑成形术矫正轻度上睑下垂的临床研究</w:t>
      </w:r>
    </w:p>
    <w:p w:rsidR="00277B52" w:rsidRDefault="00277B52" w:rsidP="00277B52">
      <w:pPr>
        <w:pStyle w:val="ad"/>
        <w:ind w:firstLine="0"/>
        <w:jc w:val="center"/>
        <w:rPr>
          <w:rFonts w:ascii="方正楷体_GBK" w:eastAsia="方正楷体_GBK" w:cs="方正楷体_GBK"/>
          <w:sz w:val="24"/>
          <w:szCs w:val="24"/>
        </w:rPr>
      </w:pPr>
      <w:r>
        <w:rPr>
          <w:rFonts w:ascii="方正楷体_GBK" w:eastAsia="方正楷体_GBK" w:cs="方正楷体_GBK" w:hint="eastAsia"/>
          <w:sz w:val="24"/>
          <w:szCs w:val="24"/>
        </w:rPr>
        <w:t>谢燕燕</w:t>
      </w:r>
      <w:r>
        <w:rPr>
          <w:rFonts w:ascii="方正楷体_GBK" w:eastAsia="方正楷体_GBK" w:cs="方正楷体_GBK"/>
          <w:sz w:val="24"/>
          <w:szCs w:val="24"/>
          <w:vertAlign w:val="superscript"/>
        </w:rPr>
        <w:t>1,2</w:t>
      </w:r>
      <w:r>
        <w:rPr>
          <w:rFonts w:ascii="方正楷体_GBK" w:eastAsia="方正楷体_GBK" w:cs="方正楷体_GBK" w:hint="eastAsia"/>
          <w:sz w:val="24"/>
          <w:szCs w:val="24"/>
        </w:rPr>
        <w:t>，王晓川</w:t>
      </w:r>
      <w:r>
        <w:rPr>
          <w:rFonts w:ascii="方正楷体_GBK" w:eastAsia="方正楷体_GBK" w:cs="方正楷体_GBK"/>
          <w:sz w:val="24"/>
          <w:szCs w:val="24"/>
          <w:vertAlign w:val="superscript"/>
        </w:rPr>
        <w:t>2,3</w:t>
      </w:r>
      <w:r>
        <w:rPr>
          <w:rFonts w:ascii="方正楷体_GBK" w:eastAsia="方正楷体_GBK" w:cs="方正楷体_GBK" w:hint="eastAsia"/>
          <w:sz w:val="24"/>
          <w:szCs w:val="24"/>
        </w:rPr>
        <w:t>，张基勋</w:t>
      </w:r>
      <w:r>
        <w:rPr>
          <w:rFonts w:ascii="方正楷体_GBK" w:eastAsia="方正楷体_GBK" w:cs="方正楷体_GBK"/>
          <w:sz w:val="24"/>
          <w:szCs w:val="24"/>
          <w:vertAlign w:val="superscript"/>
        </w:rPr>
        <w:t>2,3</w:t>
      </w:r>
      <w:r>
        <w:rPr>
          <w:rFonts w:ascii="方正楷体_GBK" w:eastAsia="方正楷体_GBK" w:cs="方正楷体_GBK" w:hint="eastAsia"/>
          <w:sz w:val="24"/>
          <w:szCs w:val="24"/>
        </w:rPr>
        <w:t>，姜笃银</w:t>
      </w:r>
      <w:r>
        <w:rPr>
          <w:rFonts w:ascii="方正楷体_GBK" w:eastAsia="方正楷体_GBK" w:cs="方正楷体_GBK"/>
          <w:sz w:val="24"/>
          <w:szCs w:val="24"/>
          <w:vertAlign w:val="superscript"/>
        </w:rPr>
        <w:t>2,3,4</w:t>
      </w:r>
    </w:p>
    <w:p w:rsidR="00277B52" w:rsidRDefault="00277B52" w:rsidP="00277B52">
      <w:pPr>
        <w:pStyle w:val="ad"/>
        <w:ind w:firstLine="0"/>
        <w:jc w:val="center"/>
        <w:rPr>
          <w:rFonts w:ascii="方正楷体_GBK" w:eastAsia="方正楷体_GBK" w:cs="方正楷体_GBK"/>
        </w:rPr>
      </w:pPr>
      <w:r>
        <w:rPr>
          <w:rFonts w:ascii="方正楷体_GBK" w:eastAsia="方正楷体_GBK" w:cs="方正楷体_GBK" w:hint="eastAsia"/>
        </w:rPr>
        <w:t>（</w:t>
      </w:r>
      <w:r>
        <w:rPr>
          <w:rFonts w:ascii="方正楷体_GBK" w:eastAsia="方正楷体_GBK" w:cs="方正楷体_GBK"/>
        </w:rPr>
        <w:t>1.</w:t>
      </w:r>
      <w:r>
        <w:rPr>
          <w:rFonts w:ascii="方正楷体_GBK" w:eastAsia="方正楷体_GBK" w:cs="方正楷体_GBK" w:hint="eastAsia"/>
        </w:rPr>
        <w:t>济南海峡美容整形医院整形外科</w:t>
      </w:r>
      <w:r>
        <w:rPr>
          <w:rFonts w:ascii="方正楷体_GBK" w:eastAsia="方正楷体_GBK" w:cs="方正楷体_GBK"/>
        </w:rPr>
        <w:t xml:space="preserve">  </w:t>
      </w:r>
      <w:r>
        <w:rPr>
          <w:rFonts w:ascii="方正楷体_GBK" w:eastAsia="方正楷体_GBK" w:cs="方正楷体_GBK" w:hint="eastAsia"/>
        </w:rPr>
        <w:t>山东</w:t>
      </w:r>
      <w:r>
        <w:rPr>
          <w:rFonts w:ascii="方正楷体_GBK" w:eastAsia="方正楷体_GBK" w:cs="方正楷体_GBK"/>
        </w:rPr>
        <w:t xml:space="preserve"> </w:t>
      </w:r>
      <w:r>
        <w:rPr>
          <w:rFonts w:ascii="方正楷体_GBK" w:eastAsia="方正楷体_GBK" w:cs="方正楷体_GBK" w:hint="eastAsia"/>
        </w:rPr>
        <w:t>济南</w:t>
      </w:r>
      <w:r>
        <w:rPr>
          <w:rFonts w:ascii="方正楷体_GBK" w:eastAsia="方正楷体_GBK" w:cs="方正楷体_GBK"/>
        </w:rPr>
        <w:t xml:space="preserve">  250100</w:t>
      </w:r>
      <w:r>
        <w:rPr>
          <w:rFonts w:ascii="方正楷体_GBK" w:eastAsia="方正楷体_GBK" w:cs="方正楷体_GBK" w:hint="eastAsia"/>
        </w:rPr>
        <w:t>；</w:t>
      </w:r>
      <w:r>
        <w:rPr>
          <w:rFonts w:ascii="方正楷体_GBK" w:eastAsia="方正楷体_GBK" w:cs="方正楷体_GBK"/>
        </w:rPr>
        <w:t>2.</w:t>
      </w:r>
      <w:r>
        <w:rPr>
          <w:rFonts w:ascii="方正楷体_GBK" w:eastAsia="方正楷体_GBK" w:cs="方正楷体_GBK" w:hint="eastAsia"/>
        </w:rPr>
        <w:t>山东大学齐鲁医学院</w:t>
      </w:r>
      <w:r>
        <w:rPr>
          <w:rFonts w:ascii="方正楷体_GBK" w:eastAsia="方正楷体_GBK" w:cs="方正楷体_GBK"/>
        </w:rPr>
        <w:t xml:space="preserve">  </w:t>
      </w:r>
      <w:r>
        <w:rPr>
          <w:rFonts w:ascii="方正楷体_GBK" w:eastAsia="方正楷体_GBK" w:cs="方正楷体_GBK" w:hint="eastAsia"/>
        </w:rPr>
        <w:t>山东</w:t>
      </w:r>
      <w:r>
        <w:rPr>
          <w:rFonts w:ascii="方正楷体_GBK" w:eastAsia="方正楷体_GBK" w:cs="方正楷体_GBK"/>
        </w:rPr>
        <w:t xml:space="preserve"> </w:t>
      </w:r>
      <w:r>
        <w:rPr>
          <w:rFonts w:ascii="方正楷体_GBK" w:eastAsia="方正楷体_GBK" w:cs="方正楷体_GBK" w:hint="eastAsia"/>
        </w:rPr>
        <w:t>济南</w:t>
      </w:r>
      <w:r>
        <w:rPr>
          <w:rFonts w:ascii="方正楷体_GBK" w:eastAsia="方正楷体_GBK" w:cs="方正楷体_GBK"/>
        </w:rPr>
        <w:t xml:space="preserve">  250012</w:t>
      </w:r>
      <w:r>
        <w:rPr>
          <w:rFonts w:ascii="方正楷体_GBK" w:eastAsia="方正楷体_GBK" w:cs="方正楷体_GBK" w:hint="eastAsia"/>
        </w:rPr>
        <w:t>；</w:t>
      </w:r>
      <w:r>
        <w:rPr>
          <w:rFonts w:ascii="方正楷体_GBK" w:eastAsia="方正楷体_GBK" w:cs="方正楷体_GBK"/>
        </w:rPr>
        <w:t>3.</w:t>
      </w:r>
      <w:r>
        <w:rPr>
          <w:rFonts w:ascii="方正楷体_GBK" w:eastAsia="方正楷体_GBK" w:cs="方正楷体_GBK" w:hint="eastAsia"/>
        </w:rPr>
        <w:t>山东大学第二医院整形烧伤科</w:t>
      </w:r>
      <w:r>
        <w:rPr>
          <w:rFonts w:ascii="方正楷体_GBK" w:eastAsia="方正楷体_GBK" w:cs="方正楷体_GBK"/>
        </w:rPr>
        <w:t xml:space="preserve">  </w:t>
      </w:r>
      <w:r>
        <w:rPr>
          <w:rFonts w:ascii="方正楷体_GBK" w:eastAsia="方正楷体_GBK" w:cs="方正楷体_GBK" w:hint="eastAsia"/>
        </w:rPr>
        <w:t>山东</w:t>
      </w:r>
      <w:r>
        <w:rPr>
          <w:rFonts w:ascii="方正楷体_GBK" w:eastAsia="方正楷体_GBK" w:cs="方正楷体_GBK"/>
        </w:rPr>
        <w:t xml:space="preserve"> </w:t>
      </w:r>
      <w:r>
        <w:rPr>
          <w:rFonts w:ascii="方正楷体_GBK" w:eastAsia="方正楷体_GBK" w:cs="方正楷体_GBK" w:hint="eastAsia"/>
        </w:rPr>
        <w:t>济南</w:t>
      </w:r>
      <w:r>
        <w:rPr>
          <w:rFonts w:ascii="方正楷体_GBK" w:eastAsia="方正楷体_GBK" w:cs="方正楷体_GBK"/>
        </w:rPr>
        <w:t xml:space="preserve"> 250000</w:t>
      </w:r>
      <w:r>
        <w:rPr>
          <w:rFonts w:ascii="方正楷体_GBK" w:eastAsia="方正楷体_GBK" w:cs="方正楷体_GBK" w:hint="eastAsia"/>
        </w:rPr>
        <w:t>；</w:t>
      </w:r>
      <w:r>
        <w:rPr>
          <w:rFonts w:ascii="方正楷体_GBK" w:eastAsia="方正楷体_GBK" w:cs="方正楷体_GBK"/>
        </w:rPr>
        <w:t>4.</w:t>
      </w:r>
      <w:r>
        <w:rPr>
          <w:rFonts w:ascii="方正楷体_GBK" w:eastAsia="方正楷体_GBK" w:cs="方正楷体_GBK" w:hint="eastAsia"/>
        </w:rPr>
        <w:t>急诊医学中心</w:t>
      </w:r>
      <w:r>
        <w:rPr>
          <w:rFonts w:ascii="方正楷体_GBK" w:eastAsia="方正楷体_GBK" w:cs="方正楷体_GBK"/>
        </w:rPr>
        <w:t xml:space="preserve">  </w:t>
      </w:r>
      <w:r>
        <w:rPr>
          <w:rFonts w:ascii="方正楷体_GBK" w:eastAsia="方正楷体_GBK" w:cs="方正楷体_GBK" w:hint="eastAsia"/>
        </w:rPr>
        <w:t>山东</w:t>
      </w:r>
      <w:r>
        <w:rPr>
          <w:rFonts w:ascii="方正楷体_GBK" w:eastAsia="方正楷体_GBK" w:cs="方正楷体_GBK"/>
        </w:rPr>
        <w:t xml:space="preserve"> </w:t>
      </w:r>
      <w:r>
        <w:rPr>
          <w:rFonts w:ascii="方正楷体_GBK" w:eastAsia="方正楷体_GBK" w:cs="方正楷体_GBK" w:hint="eastAsia"/>
        </w:rPr>
        <w:t>济南</w:t>
      </w:r>
      <w:r>
        <w:rPr>
          <w:rFonts w:ascii="方正楷体_GBK" w:eastAsia="方正楷体_GBK" w:cs="方正楷体_GBK"/>
        </w:rPr>
        <w:t xml:space="preserve">  250033</w:t>
      </w:r>
      <w:r>
        <w:rPr>
          <w:rFonts w:ascii="方正楷体_GBK" w:eastAsia="方正楷体_GBK" w:cs="方正楷体_GBK" w:hint="eastAsia"/>
        </w:rPr>
        <w:t>）</w:t>
      </w:r>
    </w:p>
    <w:p w:rsidR="00277B52" w:rsidRPr="00277B52" w:rsidRDefault="00277B52" w:rsidP="00277B52">
      <w:pPr>
        <w:pStyle w:val="a8"/>
      </w:pPr>
      <w:r>
        <w:rPr>
          <w:rStyle w:val="9"/>
        </w:rPr>
        <w:t>[</w:t>
      </w:r>
      <w:r>
        <w:rPr>
          <w:rStyle w:val="9"/>
          <w:rFonts w:hint="eastAsia"/>
        </w:rPr>
        <w:t>摘要</w:t>
      </w:r>
      <w:r>
        <w:rPr>
          <w:rStyle w:val="9"/>
        </w:rPr>
        <w:t>]</w:t>
      </w:r>
      <w:r>
        <w:rPr>
          <w:rStyle w:val="9"/>
          <w:rFonts w:hint="eastAsia"/>
        </w:rPr>
        <w:t>目的：</w:t>
      </w:r>
      <w:r>
        <w:rPr>
          <w:rFonts w:hint="eastAsia"/>
        </w:rPr>
        <w:t>探讨改良提上睑肌</w:t>
      </w:r>
      <w:r>
        <w:t>-</w:t>
      </w:r>
      <w:r>
        <w:rPr>
          <w:rFonts w:hint="eastAsia"/>
        </w:rPr>
        <w:t>眼轮匝肌固定法睑成形术矫正轻度上睑下垂的临床疗效及并发症发生率。</w:t>
      </w:r>
      <w:r>
        <w:rPr>
          <w:rStyle w:val="9"/>
          <w:rFonts w:hint="eastAsia"/>
        </w:rPr>
        <w:t>方法：</w:t>
      </w:r>
      <w:r>
        <w:rPr>
          <w:rFonts w:hint="eastAsia"/>
        </w:rPr>
        <w:t>选取</w:t>
      </w:r>
      <w:r>
        <w:t>2014</w:t>
      </w:r>
      <w:r>
        <w:rPr>
          <w:rFonts w:hint="eastAsia"/>
        </w:rPr>
        <w:t>年</w:t>
      </w:r>
      <w:r>
        <w:t>9</w:t>
      </w:r>
      <w:r>
        <w:rPr>
          <w:rFonts w:hint="eastAsia"/>
        </w:rPr>
        <w:t>月</w:t>
      </w:r>
      <w:r>
        <w:t>-2020</w:t>
      </w:r>
      <w:r>
        <w:rPr>
          <w:rFonts w:hint="eastAsia"/>
        </w:rPr>
        <w:t>年</w:t>
      </w:r>
      <w:r>
        <w:t>4</w:t>
      </w:r>
      <w:r>
        <w:rPr>
          <w:rFonts w:hint="eastAsia"/>
        </w:rPr>
        <w:t>月收治的轻度上睑下垂患者</w:t>
      </w:r>
      <w:r>
        <w:t>250</w:t>
      </w:r>
      <w:r>
        <w:rPr>
          <w:rFonts w:hint="eastAsia"/>
        </w:rPr>
        <w:t>例（</w:t>
      </w:r>
      <w:r>
        <w:t>320</w:t>
      </w:r>
      <w:r>
        <w:rPr>
          <w:rFonts w:hint="eastAsia"/>
        </w:rPr>
        <w:t>眼）做为研究对象，分为观察组（</w:t>
      </w:r>
      <w:r>
        <w:t>125</w:t>
      </w:r>
      <w:r>
        <w:rPr>
          <w:rFonts w:hint="eastAsia"/>
        </w:rPr>
        <w:t>例，</w:t>
      </w:r>
      <w:r>
        <w:t>165</w:t>
      </w:r>
      <w:r>
        <w:rPr>
          <w:rFonts w:hint="eastAsia"/>
        </w:rPr>
        <w:t>眼）与对照组（</w:t>
      </w:r>
      <w:r>
        <w:t>125</w:t>
      </w:r>
      <w:r>
        <w:rPr>
          <w:rFonts w:hint="eastAsia"/>
        </w:rPr>
        <w:t>例，</w:t>
      </w:r>
      <w:r>
        <w:t>155</w:t>
      </w:r>
      <w:r>
        <w:rPr>
          <w:rFonts w:hint="eastAsia"/>
        </w:rPr>
        <w:t>眼），患者上睑缘均位于瞳孔上缘，提上睑肌肌力</w:t>
      </w:r>
      <w:r>
        <w:t>6</w:t>
      </w:r>
      <w:r>
        <w:rPr>
          <w:rFonts w:hint="eastAsia"/>
        </w:rPr>
        <w:t>～</w:t>
      </w:r>
      <w:r>
        <w:t>12mm</w:t>
      </w:r>
      <w:r>
        <w:rPr>
          <w:rFonts w:hint="eastAsia"/>
        </w:rPr>
        <w:t>。观察组采用改良提上睑肌</w:t>
      </w:r>
      <w:r>
        <w:t>-</w:t>
      </w:r>
      <w:r>
        <w:rPr>
          <w:rFonts w:hint="eastAsia"/>
        </w:rPr>
        <w:t>眼轮匝肌固定法睑成形术治疗，对照组采用提上睑肌缩短术治疗。分析术后即刻、</w:t>
      </w:r>
      <w:r>
        <w:t>1</w:t>
      </w:r>
      <w:r>
        <w:rPr>
          <w:rFonts w:hint="eastAsia"/>
        </w:rPr>
        <w:t>个月、</w:t>
      </w:r>
      <w:r>
        <w:t>6</w:t>
      </w:r>
      <w:r>
        <w:rPr>
          <w:rFonts w:hint="eastAsia"/>
        </w:rPr>
        <w:t>个月的治疗效果及并发症情况。</w:t>
      </w:r>
      <w:r>
        <w:rPr>
          <w:rStyle w:val="9"/>
          <w:rFonts w:hint="eastAsia"/>
        </w:rPr>
        <w:t>结果：</w:t>
      </w:r>
      <w:r>
        <w:rPr>
          <w:rFonts w:hint="eastAsia"/>
        </w:rPr>
        <w:t>观察组患者上睑缘位置恢复至正常，术</w:t>
      </w:r>
      <w:r>
        <w:rPr>
          <w:rFonts w:hint="eastAsia"/>
          <w:spacing w:val="4"/>
        </w:rPr>
        <w:t>后即刻无睑裂闭合不全，肿胀较轻；术后</w:t>
      </w:r>
      <w:r>
        <w:rPr>
          <w:spacing w:val="4"/>
        </w:rPr>
        <w:t>1</w:t>
      </w:r>
      <w:r>
        <w:rPr>
          <w:rFonts w:hint="eastAsia"/>
          <w:spacing w:val="4"/>
        </w:rPr>
        <w:t>个月仅有</w:t>
      </w:r>
      <w:r>
        <w:rPr>
          <w:spacing w:val="4"/>
        </w:rPr>
        <w:t>5</w:t>
      </w:r>
      <w:r>
        <w:rPr>
          <w:rFonts w:hint="eastAsia"/>
          <w:spacing w:val="4"/>
        </w:rPr>
        <w:t>眼出现轻微欠矫，无过矫。观察组近期疗效</w:t>
      </w:r>
      <w:r w:rsidRPr="00277B52">
        <w:rPr>
          <w:rFonts w:hint="eastAsia"/>
          <w:spacing w:val="4"/>
        </w:rPr>
        <w:t>优于对照组，差异有统计学意义（</w:t>
      </w:r>
      <w:r w:rsidRPr="00277B52">
        <w:rPr>
          <w:spacing w:val="4"/>
        </w:rPr>
        <w:t>P</w:t>
      </w:r>
      <w:r w:rsidRPr="00277B52">
        <w:rPr>
          <w:rFonts w:hint="eastAsia"/>
          <w:spacing w:val="4"/>
        </w:rPr>
        <w:t>＜</w:t>
      </w:r>
      <w:r w:rsidRPr="00277B52">
        <w:rPr>
          <w:spacing w:val="4"/>
        </w:rPr>
        <w:t>0.05</w:t>
      </w:r>
      <w:r w:rsidRPr="00277B52">
        <w:rPr>
          <w:rFonts w:hint="eastAsia"/>
          <w:spacing w:val="4"/>
        </w:rPr>
        <w:t>）。术后</w:t>
      </w:r>
      <w:r w:rsidRPr="00277B52">
        <w:rPr>
          <w:spacing w:val="4"/>
        </w:rPr>
        <w:t>6</w:t>
      </w:r>
      <w:r w:rsidRPr="00277B52">
        <w:rPr>
          <w:rFonts w:hint="eastAsia"/>
          <w:spacing w:val="4"/>
        </w:rPr>
        <w:t>个月重睑弧线流畅自然，并发症发生率（</w:t>
      </w:r>
      <w:r w:rsidRPr="00277B52">
        <w:rPr>
          <w:spacing w:val="4"/>
        </w:rPr>
        <w:t>6.06%</w:t>
      </w:r>
      <w:r w:rsidRPr="00277B52">
        <w:rPr>
          <w:rFonts w:hint="eastAsia"/>
          <w:spacing w:val="4"/>
        </w:rPr>
        <w:t>）明显低于对照组（</w:t>
      </w:r>
      <w:r w:rsidRPr="00277B52">
        <w:rPr>
          <w:spacing w:val="4"/>
        </w:rPr>
        <w:t>38.71%</w:t>
      </w:r>
      <w:r w:rsidRPr="00277B52">
        <w:rPr>
          <w:rFonts w:hint="eastAsia"/>
          <w:spacing w:val="4"/>
        </w:rPr>
        <w:t>），患者满意度（</w:t>
      </w:r>
      <w:r w:rsidRPr="00277B52">
        <w:rPr>
          <w:spacing w:val="4"/>
        </w:rPr>
        <w:t>84.00%</w:t>
      </w:r>
      <w:r w:rsidRPr="00277B52">
        <w:rPr>
          <w:rFonts w:hint="eastAsia"/>
          <w:spacing w:val="4"/>
        </w:rPr>
        <w:t>）高于对照组（</w:t>
      </w:r>
      <w:r w:rsidRPr="00277B52">
        <w:rPr>
          <w:spacing w:val="4"/>
        </w:rPr>
        <w:t>52.00%</w:t>
      </w:r>
      <w:r w:rsidRPr="00277B52">
        <w:rPr>
          <w:rFonts w:hint="eastAsia"/>
          <w:spacing w:val="4"/>
        </w:rPr>
        <w:t>），差异有统计学意义（</w:t>
      </w:r>
      <w:r w:rsidRPr="00277B52">
        <w:rPr>
          <w:spacing w:val="4"/>
        </w:rPr>
        <w:t>P</w:t>
      </w:r>
      <w:r w:rsidRPr="00277B52">
        <w:rPr>
          <w:rFonts w:hint="eastAsia"/>
          <w:spacing w:val="4"/>
        </w:rPr>
        <w:t>＜</w:t>
      </w:r>
      <w:r w:rsidRPr="00277B52">
        <w:rPr>
          <w:spacing w:val="4"/>
        </w:rPr>
        <w:t>0.05</w:t>
      </w:r>
      <w:r w:rsidRPr="00277B52">
        <w:rPr>
          <w:rFonts w:hint="eastAsia"/>
          <w:spacing w:val="4"/>
        </w:rPr>
        <w:t>）。</w:t>
      </w:r>
      <w:r w:rsidRPr="00277B52">
        <w:rPr>
          <w:rFonts w:ascii="黑体" w:eastAsia="黑体" w:cs="黑体" w:hint="eastAsia"/>
          <w:spacing w:val="4"/>
        </w:rPr>
        <w:t>结论：</w:t>
      </w:r>
      <w:r w:rsidRPr="00277B52">
        <w:rPr>
          <w:rFonts w:hint="eastAsia"/>
          <w:spacing w:val="4"/>
        </w:rPr>
        <w:t>改良提上睑肌</w:t>
      </w:r>
      <w:r w:rsidRPr="00277B52">
        <w:rPr>
          <w:spacing w:val="4"/>
        </w:rPr>
        <w:t>-</w:t>
      </w:r>
      <w:r w:rsidRPr="00277B52">
        <w:rPr>
          <w:rFonts w:hint="eastAsia"/>
          <w:spacing w:val="4"/>
        </w:rPr>
        <w:t>眼轮匝肌固定法睑成形术矫正轻度上睑</w:t>
      </w:r>
      <w:r w:rsidRPr="00277B52">
        <w:rPr>
          <w:rFonts w:hint="eastAsia"/>
        </w:rPr>
        <w:t>下垂符合眼部解剖结构及眼球动力学方向，创伤小，可加强提上睑肌肌力，效果可靠，不良反应发生率低。</w:t>
      </w:r>
    </w:p>
    <w:p w:rsidR="00277B52" w:rsidRPr="00277B52" w:rsidRDefault="00277B52" w:rsidP="00277B5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277B52">
        <w:rPr>
          <w:rFonts w:ascii="黑体" w:eastAsia="黑体" w:cs="黑体"/>
          <w:color w:val="000000"/>
          <w:kern w:val="0"/>
          <w:sz w:val="18"/>
          <w:lang w:val="zh-CN"/>
        </w:rPr>
        <w:t>[</w:t>
      </w:r>
      <w:r w:rsidRPr="00277B52">
        <w:rPr>
          <w:rFonts w:ascii="黑体" w:eastAsia="黑体" w:cs="黑体" w:hint="eastAsia"/>
          <w:color w:val="000000"/>
          <w:kern w:val="0"/>
          <w:sz w:val="18"/>
          <w:lang w:val="zh-CN"/>
        </w:rPr>
        <w:t>关键词</w:t>
      </w:r>
      <w:r w:rsidRPr="00277B52">
        <w:rPr>
          <w:rFonts w:ascii="黑体" w:eastAsia="黑体" w:cs="黑体"/>
          <w:color w:val="000000"/>
          <w:kern w:val="0"/>
          <w:sz w:val="18"/>
          <w:lang w:val="zh-CN"/>
        </w:rPr>
        <w:t>]</w:t>
      </w:r>
      <w:r w:rsidRPr="00277B52">
        <w:rPr>
          <w:rFonts w:ascii="楷体_GB2312" w:eastAsia="楷体_GB2312" w:cs="楷体_GB2312" w:hint="eastAsia"/>
          <w:color w:val="000000"/>
          <w:kern w:val="0"/>
          <w:sz w:val="18"/>
          <w:szCs w:val="18"/>
          <w:lang w:val="zh-CN"/>
        </w:rPr>
        <w:t>改良提上睑肌</w:t>
      </w:r>
      <w:r w:rsidRPr="00277B52">
        <w:rPr>
          <w:rFonts w:ascii="楷体_GB2312" w:eastAsia="楷体_GB2312" w:cs="楷体_GB2312"/>
          <w:color w:val="000000"/>
          <w:kern w:val="0"/>
          <w:sz w:val="18"/>
          <w:szCs w:val="18"/>
          <w:lang w:val="zh-CN"/>
        </w:rPr>
        <w:t>-</w:t>
      </w:r>
      <w:r w:rsidRPr="00277B52">
        <w:rPr>
          <w:rFonts w:ascii="楷体_GB2312" w:eastAsia="楷体_GB2312" w:cs="楷体_GB2312" w:hint="eastAsia"/>
          <w:color w:val="000000"/>
          <w:kern w:val="0"/>
          <w:sz w:val="18"/>
          <w:szCs w:val="18"/>
          <w:lang w:val="zh-CN"/>
        </w:rPr>
        <w:t>眼轮匝肌固定法；上睑下垂；轻度；提上睑肌肌力；提上睑肌缩短；并发症</w:t>
      </w:r>
    </w:p>
    <w:p w:rsidR="00277B52" w:rsidRPr="00277B52" w:rsidRDefault="00277B52" w:rsidP="00277B5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277B52">
        <w:rPr>
          <w:rFonts w:ascii="黑体" w:eastAsia="黑体" w:cs="黑体"/>
          <w:color w:val="000000"/>
          <w:kern w:val="0"/>
          <w:sz w:val="18"/>
          <w:lang w:val="zh-CN"/>
        </w:rPr>
        <w:t>[</w:t>
      </w:r>
      <w:r w:rsidRPr="00277B52">
        <w:rPr>
          <w:rFonts w:ascii="黑体" w:eastAsia="黑体" w:cs="黑体" w:hint="eastAsia"/>
          <w:color w:val="000000"/>
          <w:kern w:val="0"/>
          <w:sz w:val="18"/>
          <w:lang w:val="zh-CN"/>
        </w:rPr>
        <w:t>中图分类号</w:t>
      </w:r>
      <w:r w:rsidRPr="00277B52">
        <w:rPr>
          <w:rFonts w:ascii="黑体" w:eastAsia="黑体" w:cs="黑体"/>
          <w:color w:val="000000"/>
          <w:kern w:val="0"/>
          <w:sz w:val="18"/>
          <w:lang w:val="zh-CN"/>
        </w:rPr>
        <w:t>]</w:t>
      </w:r>
      <w:r w:rsidRPr="00277B52">
        <w:rPr>
          <w:rFonts w:ascii="楷体_GB2312" w:eastAsia="楷体_GB2312" w:cs="楷体_GB2312"/>
          <w:color w:val="000000"/>
          <w:kern w:val="0"/>
          <w:sz w:val="18"/>
          <w:szCs w:val="18"/>
          <w:lang w:val="zh-CN"/>
        </w:rPr>
        <w:t xml:space="preserve">R622    </w:t>
      </w:r>
      <w:r w:rsidRPr="00277B52">
        <w:rPr>
          <w:rFonts w:ascii="黑体" w:eastAsia="黑体" w:cs="黑体"/>
          <w:color w:val="000000"/>
          <w:kern w:val="0"/>
          <w:sz w:val="18"/>
          <w:lang w:val="zh-CN"/>
        </w:rPr>
        <w:t>[</w:t>
      </w:r>
      <w:r w:rsidRPr="00277B52">
        <w:rPr>
          <w:rFonts w:ascii="黑体" w:eastAsia="黑体" w:cs="黑体" w:hint="eastAsia"/>
          <w:color w:val="000000"/>
          <w:kern w:val="0"/>
          <w:sz w:val="18"/>
          <w:lang w:val="zh-CN"/>
        </w:rPr>
        <w:t>文献标志码</w:t>
      </w:r>
      <w:r w:rsidRPr="00277B52">
        <w:rPr>
          <w:rFonts w:ascii="黑体" w:eastAsia="黑体" w:cs="黑体"/>
          <w:color w:val="000000"/>
          <w:kern w:val="0"/>
          <w:sz w:val="18"/>
          <w:lang w:val="zh-CN"/>
        </w:rPr>
        <w:t>]</w:t>
      </w:r>
      <w:r w:rsidRPr="00277B52">
        <w:rPr>
          <w:rFonts w:ascii="楷体_GB2312" w:eastAsia="楷体_GB2312" w:cs="楷体_GB2312"/>
          <w:color w:val="000000"/>
          <w:kern w:val="0"/>
          <w:sz w:val="18"/>
          <w:szCs w:val="18"/>
          <w:lang w:val="zh-CN"/>
        </w:rPr>
        <w:t xml:space="preserve">A    </w:t>
      </w:r>
      <w:r w:rsidRPr="00277B52">
        <w:rPr>
          <w:rFonts w:ascii="黑体" w:eastAsia="黑体" w:cs="黑体"/>
          <w:color w:val="000000"/>
          <w:kern w:val="0"/>
          <w:sz w:val="18"/>
          <w:lang w:val="zh-CN"/>
        </w:rPr>
        <w:t>[</w:t>
      </w:r>
      <w:r w:rsidRPr="00277B52">
        <w:rPr>
          <w:rFonts w:ascii="黑体" w:eastAsia="黑体" w:cs="黑体" w:hint="eastAsia"/>
          <w:color w:val="000000"/>
          <w:kern w:val="0"/>
          <w:sz w:val="18"/>
          <w:lang w:val="zh-CN"/>
        </w:rPr>
        <w:t>文章编号</w:t>
      </w:r>
      <w:r w:rsidRPr="00277B52">
        <w:rPr>
          <w:rFonts w:ascii="黑体" w:eastAsia="黑体" w:cs="黑体"/>
          <w:color w:val="000000"/>
          <w:kern w:val="0"/>
          <w:sz w:val="18"/>
          <w:lang w:val="zh-CN"/>
        </w:rPr>
        <w:t>]</w:t>
      </w:r>
      <w:r w:rsidRPr="00277B52">
        <w:rPr>
          <w:rFonts w:ascii="楷体_GB2312" w:eastAsia="楷体_GB2312" w:cs="楷体_GB2312"/>
          <w:color w:val="000000"/>
          <w:kern w:val="0"/>
          <w:sz w:val="18"/>
          <w:szCs w:val="18"/>
          <w:lang w:val="zh-CN"/>
        </w:rPr>
        <w:t>1008-6455</w:t>
      </w:r>
      <w:r w:rsidRPr="00277B52">
        <w:rPr>
          <w:rFonts w:ascii="楷体_GB2312" w:eastAsia="楷体_GB2312" w:cs="楷体_GB2312" w:hint="eastAsia"/>
          <w:color w:val="000000"/>
          <w:kern w:val="0"/>
          <w:sz w:val="18"/>
          <w:szCs w:val="18"/>
          <w:lang w:val="zh-CN"/>
        </w:rPr>
        <w:t>（</w:t>
      </w:r>
      <w:r w:rsidRPr="00277B52">
        <w:rPr>
          <w:rFonts w:ascii="楷体_GB2312" w:eastAsia="楷体_GB2312" w:cs="楷体_GB2312"/>
          <w:color w:val="000000"/>
          <w:kern w:val="0"/>
          <w:sz w:val="18"/>
          <w:szCs w:val="18"/>
          <w:lang w:val="zh-CN"/>
        </w:rPr>
        <w:t>2021</w:t>
      </w:r>
      <w:r w:rsidRPr="00277B52">
        <w:rPr>
          <w:rFonts w:ascii="楷体_GB2312" w:eastAsia="楷体_GB2312" w:cs="楷体_GB2312" w:hint="eastAsia"/>
          <w:color w:val="000000"/>
          <w:kern w:val="0"/>
          <w:sz w:val="18"/>
          <w:szCs w:val="18"/>
          <w:lang w:val="zh-CN"/>
        </w:rPr>
        <w:t>）</w:t>
      </w:r>
      <w:r w:rsidRPr="00277B52">
        <w:rPr>
          <w:rFonts w:ascii="楷体_GB2312" w:eastAsia="楷体_GB2312" w:cs="楷体_GB2312"/>
          <w:color w:val="000000"/>
          <w:kern w:val="0"/>
          <w:sz w:val="18"/>
          <w:szCs w:val="18"/>
          <w:lang w:val="zh-CN"/>
        </w:rPr>
        <w:t>12-0033-04</w:t>
      </w:r>
    </w:p>
    <w:p w:rsidR="00277B52" w:rsidRPr="00277B52" w:rsidRDefault="00277B52" w:rsidP="00277B52">
      <w:pPr>
        <w:autoSpaceDE w:val="0"/>
        <w:autoSpaceDN w:val="0"/>
        <w:adjustRightInd w:val="0"/>
        <w:spacing w:line="320" w:lineRule="atLeast"/>
        <w:jc w:val="center"/>
        <w:textAlignment w:val="center"/>
        <w:rPr>
          <w:rFonts w:ascii="ITC Avant Garde Gothic Demi" w:eastAsia="楷体_GB2312" w:hAnsi="ITC Avant Garde Gothic Demi" w:cs="ITC Avant Garde Gothic Demi"/>
          <w:color w:val="7F00FF"/>
          <w:kern w:val="0"/>
          <w:sz w:val="24"/>
          <w:szCs w:val="24"/>
          <w:lang w:val="zh-CN"/>
        </w:rPr>
      </w:pPr>
    </w:p>
    <w:p w:rsidR="00277B52" w:rsidRPr="00277B52" w:rsidRDefault="00277B52" w:rsidP="00277B52">
      <w:pPr>
        <w:autoSpaceDE w:val="0"/>
        <w:autoSpaceDN w:val="0"/>
        <w:adjustRightInd w:val="0"/>
        <w:spacing w:line="320" w:lineRule="atLeast"/>
        <w:jc w:val="center"/>
        <w:textAlignment w:val="center"/>
        <w:rPr>
          <w:rFonts w:ascii="ITC Avant Garde Gothic Demi" w:eastAsia="楷体_GB2312" w:hAnsi="ITC Avant Garde Gothic Demi" w:cs="ITC Avant Garde Gothic Demi"/>
          <w:color w:val="7F00FF"/>
          <w:kern w:val="0"/>
          <w:sz w:val="24"/>
          <w:szCs w:val="24"/>
        </w:rPr>
      </w:pPr>
      <w:r w:rsidRPr="00277B52">
        <w:rPr>
          <w:rFonts w:ascii="ITC Avant Garde Gothic Demi" w:eastAsia="楷体_GB2312" w:hAnsi="ITC Avant Garde Gothic Demi" w:cs="ITC Avant Garde Gothic Demi"/>
          <w:color w:val="7F00FF"/>
          <w:kern w:val="0"/>
          <w:sz w:val="24"/>
          <w:szCs w:val="24"/>
        </w:rPr>
        <w:t>Clinical Study on Modified Levator Palpebrae Superioris Orbicularis Oculi Fixation Blepharoplasty for the Correction of Mild Blepharoptosis</w:t>
      </w:r>
    </w:p>
    <w:p w:rsidR="00277B52" w:rsidRPr="00277B52" w:rsidRDefault="00277B52" w:rsidP="00277B52">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277B52">
        <w:rPr>
          <w:rFonts w:ascii="方正兰亭中黑_GBK" w:eastAsia="方正兰亭中黑_GBK" w:cs="方正兰亭中黑_GBK"/>
          <w:color w:val="000000"/>
          <w:kern w:val="0"/>
          <w:sz w:val="18"/>
          <w:szCs w:val="18"/>
        </w:rPr>
        <w:t>XIE Yan-yan</w:t>
      </w:r>
      <w:r w:rsidRPr="00277B52">
        <w:rPr>
          <w:rFonts w:ascii="方正兰亭中黑_GBK" w:eastAsia="方正兰亭中黑_GBK" w:cs="方正兰亭中黑_GBK"/>
          <w:color w:val="000000"/>
          <w:kern w:val="0"/>
          <w:sz w:val="18"/>
          <w:szCs w:val="18"/>
          <w:vertAlign w:val="superscript"/>
        </w:rPr>
        <w:t>1,2</w:t>
      </w:r>
      <w:r w:rsidRPr="00277B52">
        <w:rPr>
          <w:rFonts w:ascii="方正兰亭中黑_GBK" w:eastAsia="方正兰亭中黑_GBK" w:cs="方正兰亭中黑_GBK"/>
          <w:color w:val="000000"/>
          <w:kern w:val="0"/>
          <w:sz w:val="18"/>
          <w:szCs w:val="18"/>
        </w:rPr>
        <w:t>,WANG Xiao-chuan</w:t>
      </w:r>
      <w:r w:rsidRPr="00277B52">
        <w:rPr>
          <w:rFonts w:ascii="方正兰亭中黑_GBK" w:eastAsia="方正兰亭中黑_GBK" w:cs="方正兰亭中黑_GBK"/>
          <w:color w:val="000000"/>
          <w:kern w:val="0"/>
          <w:sz w:val="18"/>
          <w:szCs w:val="18"/>
          <w:vertAlign w:val="superscript"/>
        </w:rPr>
        <w:t>2,3</w:t>
      </w:r>
      <w:r w:rsidRPr="00277B52">
        <w:rPr>
          <w:rFonts w:ascii="方正兰亭中黑_GBK" w:eastAsia="方正兰亭中黑_GBK" w:cs="方正兰亭中黑_GBK"/>
          <w:color w:val="000000"/>
          <w:kern w:val="0"/>
          <w:sz w:val="18"/>
          <w:szCs w:val="18"/>
        </w:rPr>
        <w:t>,ZHANG Ji-xun</w:t>
      </w:r>
      <w:r w:rsidRPr="00277B52">
        <w:rPr>
          <w:rFonts w:ascii="方正兰亭中黑_GBK" w:eastAsia="方正兰亭中黑_GBK" w:cs="方正兰亭中黑_GBK"/>
          <w:color w:val="000000"/>
          <w:kern w:val="0"/>
          <w:sz w:val="18"/>
          <w:szCs w:val="18"/>
          <w:vertAlign w:val="superscript"/>
        </w:rPr>
        <w:t>2,3</w:t>
      </w:r>
      <w:r w:rsidRPr="00277B52">
        <w:rPr>
          <w:rFonts w:ascii="方正兰亭中黑_GBK" w:eastAsia="方正兰亭中黑_GBK" w:cs="方正兰亭中黑_GBK"/>
          <w:color w:val="000000"/>
          <w:kern w:val="0"/>
          <w:sz w:val="18"/>
          <w:szCs w:val="18"/>
        </w:rPr>
        <w:t>,JIANG Du-yin</w:t>
      </w:r>
      <w:r w:rsidRPr="00277B52">
        <w:rPr>
          <w:rFonts w:ascii="方正兰亭中黑_GBK" w:eastAsia="方正兰亭中黑_GBK" w:cs="方正兰亭中黑_GBK"/>
          <w:color w:val="000000"/>
          <w:kern w:val="0"/>
          <w:sz w:val="18"/>
          <w:szCs w:val="18"/>
          <w:vertAlign w:val="superscript"/>
        </w:rPr>
        <w:t>2,3,4</w:t>
      </w:r>
    </w:p>
    <w:p w:rsidR="00277B52" w:rsidRPr="00277B52" w:rsidRDefault="00277B52" w:rsidP="00277B52">
      <w:pPr>
        <w:autoSpaceDE w:val="0"/>
        <w:autoSpaceDN w:val="0"/>
        <w:adjustRightInd w:val="0"/>
        <w:spacing w:line="300" w:lineRule="atLeast"/>
        <w:jc w:val="center"/>
        <w:textAlignment w:val="center"/>
        <w:rPr>
          <w:rFonts w:ascii="Times New Roman" w:eastAsia="楷体_GB2312" w:hAnsi="Times New Roman" w:cs="Times New Roman"/>
          <w:color w:val="000000"/>
          <w:kern w:val="0"/>
          <w:sz w:val="19"/>
          <w:szCs w:val="19"/>
        </w:rPr>
      </w:pPr>
      <w:r w:rsidRPr="00277B52">
        <w:rPr>
          <w:rFonts w:ascii="Times New Roman" w:eastAsia="楷体_GB2312" w:hAnsi="Times New Roman" w:cs="Times New Roman"/>
          <w:color w:val="000000"/>
          <w:kern w:val="0"/>
          <w:sz w:val="19"/>
          <w:szCs w:val="19"/>
        </w:rPr>
        <w:t>(1.Department of Plastic Surgery,Jinan Hays Cosmetic Plastic Surgery Hospital,Jinan 250100,Shandong,China;2.Cheeloo College of Medicine,Shandong University,Jinan 250012,Shandong,China;3.Department of Plastic and Burns Surgery,the Second Hospital of Shandong University,Jinan 250000,Shandong,China;</w:t>
      </w:r>
    </w:p>
    <w:p w:rsidR="00277B52" w:rsidRPr="00277B52" w:rsidRDefault="00277B52" w:rsidP="00277B52">
      <w:pPr>
        <w:autoSpaceDE w:val="0"/>
        <w:autoSpaceDN w:val="0"/>
        <w:adjustRightInd w:val="0"/>
        <w:spacing w:line="300" w:lineRule="atLeast"/>
        <w:jc w:val="center"/>
        <w:textAlignment w:val="center"/>
        <w:rPr>
          <w:rFonts w:ascii="Times New Roman" w:eastAsia="楷体_GB2312" w:hAnsi="Times New Roman" w:cs="Times New Roman"/>
          <w:color w:val="000000"/>
          <w:kern w:val="0"/>
          <w:sz w:val="19"/>
          <w:szCs w:val="19"/>
        </w:rPr>
      </w:pPr>
      <w:r w:rsidRPr="00277B52">
        <w:rPr>
          <w:rFonts w:ascii="Times New Roman" w:eastAsia="楷体_GB2312" w:hAnsi="Times New Roman" w:cs="Times New Roman"/>
          <w:color w:val="000000"/>
          <w:kern w:val="0"/>
          <w:sz w:val="19"/>
          <w:szCs w:val="19"/>
        </w:rPr>
        <w:t>4.Department of Emergency,the Second Hospital of Shandong University,Jinan 250033,Shandong,China)</w:t>
      </w:r>
    </w:p>
    <w:p w:rsidR="00277B52" w:rsidRPr="00277B52" w:rsidRDefault="00277B52" w:rsidP="00277B52">
      <w:pPr>
        <w:autoSpaceDE w:val="0"/>
        <w:autoSpaceDN w:val="0"/>
        <w:adjustRightInd w:val="0"/>
        <w:spacing w:line="300" w:lineRule="atLeast"/>
        <w:jc w:val="center"/>
        <w:textAlignment w:val="center"/>
        <w:rPr>
          <w:rFonts w:ascii="Times New Roman" w:eastAsia="楷体_GB2312" w:hAnsi="Times New Roman" w:cs="Times New Roman"/>
          <w:color w:val="000000"/>
          <w:kern w:val="0"/>
          <w:sz w:val="19"/>
          <w:szCs w:val="19"/>
        </w:rPr>
      </w:pPr>
    </w:p>
    <w:p w:rsidR="00277B52" w:rsidRPr="00277B52" w:rsidRDefault="00277B52" w:rsidP="00277B52">
      <w:pPr>
        <w:autoSpaceDE w:val="0"/>
        <w:autoSpaceDN w:val="0"/>
        <w:adjustRightInd w:val="0"/>
        <w:spacing w:line="300" w:lineRule="atLeast"/>
        <w:textAlignment w:val="center"/>
        <w:rPr>
          <w:rFonts w:ascii="Times New Roman" w:eastAsia="楷体_GB2312" w:hAnsi="Times New Roman" w:cs="Times New Roman"/>
          <w:color w:val="000000"/>
          <w:kern w:val="0"/>
          <w:sz w:val="19"/>
          <w:szCs w:val="19"/>
        </w:rPr>
      </w:pPr>
      <w:r w:rsidRPr="00277B52">
        <w:rPr>
          <w:rFonts w:ascii="Didot HTF-B06-" w:eastAsia="楷体_GB2312" w:hAnsi="Didot HTF-B06-" w:cs="Didot HTF-B06-"/>
          <w:b/>
          <w:bCs/>
          <w:color w:val="000000"/>
          <w:kern w:val="0"/>
          <w:sz w:val="19"/>
        </w:rPr>
        <w:t>Abstract: Objective</w:t>
      </w:r>
      <w:r w:rsidRPr="00277B52">
        <w:rPr>
          <w:rFonts w:ascii="Times New Roman" w:eastAsia="楷体_GB2312" w:hAnsi="Times New Roman" w:cs="Times New Roman"/>
          <w:color w:val="000000"/>
          <w:kern w:val="0"/>
          <w:sz w:val="19"/>
          <w:szCs w:val="19"/>
        </w:rPr>
        <w:t xml:space="preserve">  It is to study clinical therapeutic effect and complication rates of mild </w:t>
      </w:r>
      <w:proofErr w:type="spellStart"/>
      <w:r w:rsidRPr="00277B52">
        <w:rPr>
          <w:rFonts w:ascii="Times New Roman" w:eastAsia="楷体_GB2312" w:hAnsi="Times New Roman" w:cs="Times New Roman"/>
          <w:color w:val="000000"/>
          <w:kern w:val="0"/>
          <w:sz w:val="19"/>
          <w:szCs w:val="19"/>
        </w:rPr>
        <w:t>blepharoptosis</w:t>
      </w:r>
      <w:proofErr w:type="spellEnd"/>
      <w:r w:rsidRPr="00277B52">
        <w:rPr>
          <w:rFonts w:ascii="Times New Roman" w:eastAsia="楷体_GB2312" w:hAnsi="Times New Roman" w:cs="Times New Roman"/>
          <w:color w:val="000000"/>
          <w:kern w:val="0"/>
          <w:sz w:val="19"/>
          <w:szCs w:val="19"/>
        </w:rPr>
        <w:t xml:space="preserve"> correction by modified </w:t>
      </w:r>
      <w:proofErr w:type="spellStart"/>
      <w:r w:rsidRPr="00277B52">
        <w:rPr>
          <w:rFonts w:ascii="Times New Roman" w:eastAsia="楷体_GB2312" w:hAnsi="Times New Roman" w:cs="Times New Roman"/>
          <w:color w:val="000000"/>
          <w:kern w:val="0"/>
          <w:sz w:val="19"/>
          <w:szCs w:val="19"/>
        </w:rPr>
        <w:t>levator</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palpebrae</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superioris</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orbicularis</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oculi</w:t>
      </w:r>
      <w:proofErr w:type="spellEnd"/>
      <w:r w:rsidRPr="00277B52">
        <w:rPr>
          <w:rFonts w:ascii="Times New Roman" w:eastAsia="楷体_GB2312" w:hAnsi="Times New Roman" w:cs="Times New Roman"/>
          <w:color w:val="000000"/>
          <w:kern w:val="0"/>
          <w:sz w:val="19"/>
          <w:szCs w:val="19"/>
        </w:rPr>
        <w:t xml:space="preserve"> fixation </w:t>
      </w:r>
      <w:proofErr w:type="spellStart"/>
      <w:r w:rsidRPr="00277B52">
        <w:rPr>
          <w:rFonts w:ascii="Times New Roman" w:eastAsia="楷体_GB2312" w:hAnsi="Times New Roman" w:cs="Times New Roman"/>
          <w:color w:val="000000"/>
          <w:kern w:val="0"/>
          <w:sz w:val="19"/>
          <w:szCs w:val="19"/>
        </w:rPr>
        <w:t>blepharoplasty</w:t>
      </w:r>
      <w:proofErr w:type="spellEnd"/>
      <w:r w:rsidRPr="00277B52">
        <w:rPr>
          <w:rFonts w:ascii="Times New Roman" w:eastAsia="楷体_GB2312" w:hAnsi="Times New Roman" w:cs="Times New Roman"/>
          <w:color w:val="000000"/>
          <w:kern w:val="0"/>
          <w:sz w:val="19"/>
          <w:szCs w:val="19"/>
        </w:rPr>
        <w:t xml:space="preserve">. </w:t>
      </w:r>
      <w:r w:rsidRPr="00277B52">
        <w:rPr>
          <w:rFonts w:ascii="Didot HTF-B06-" w:eastAsia="楷体_GB2312" w:hAnsi="Didot HTF-B06-" w:cs="Didot HTF-B06-"/>
          <w:b/>
          <w:bCs/>
          <w:color w:val="000000"/>
          <w:kern w:val="0"/>
          <w:sz w:val="19"/>
        </w:rPr>
        <w:t>Methods</w:t>
      </w:r>
      <w:r w:rsidRPr="00277B52">
        <w:rPr>
          <w:rFonts w:ascii="Times New Roman" w:eastAsia="楷体_GB2312" w:hAnsi="Times New Roman" w:cs="Times New Roman"/>
          <w:color w:val="000000"/>
          <w:kern w:val="0"/>
          <w:sz w:val="19"/>
          <w:szCs w:val="19"/>
        </w:rPr>
        <w:t xml:space="preserve">  250 patients (320 eyes) with mild </w:t>
      </w:r>
      <w:proofErr w:type="spellStart"/>
      <w:r w:rsidRPr="00277B52">
        <w:rPr>
          <w:rFonts w:ascii="Times New Roman" w:eastAsia="楷体_GB2312" w:hAnsi="Times New Roman" w:cs="Times New Roman"/>
          <w:color w:val="000000"/>
          <w:kern w:val="0"/>
          <w:sz w:val="19"/>
          <w:szCs w:val="19"/>
        </w:rPr>
        <w:t>blepharoptosis</w:t>
      </w:r>
      <w:proofErr w:type="spellEnd"/>
      <w:r w:rsidRPr="00277B52">
        <w:rPr>
          <w:rFonts w:ascii="Times New Roman" w:eastAsia="楷体_GB2312" w:hAnsi="Times New Roman" w:cs="Times New Roman"/>
          <w:color w:val="000000"/>
          <w:kern w:val="0"/>
          <w:sz w:val="19"/>
          <w:szCs w:val="19"/>
        </w:rPr>
        <w:t xml:space="preserve"> treated from September 2014 to April 2020 were selected as the research object and divided into the observation group (125 cases, 165 eyes) and the control group (125 cases, 155 eyes). The upper eyelid margin of the patients was located at the upper edge of pupil, and their </w:t>
      </w:r>
      <w:proofErr w:type="spellStart"/>
      <w:r w:rsidRPr="00277B52">
        <w:rPr>
          <w:rFonts w:ascii="Times New Roman" w:eastAsia="楷体_GB2312" w:hAnsi="Times New Roman" w:cs="Times New Roman"/>
          <w:color w:val="000000"/>
          <w:kern w:val="0"/>
          <w:sz w:val="19"/>
          <w:szCs w:val="19"/>
        </w:rPr>
        <w:t>levator</w:t>
      </w:r>
      <w:proofErr w:type="spellEnd"/>
      <w:r w:rsidRPr="00277B52">
        <w:rPr>
          <w:rFonts w:ascii="Times New Roman" w:eastAsia="楷体_GB2312" w:hAnsi="Times New Roman" w:cs="Times New Roman"/>
          <w:color w:val="000000"/>
          <w:kern w:val="0"/>
          <w:sz w:val="19"/>
          <w:szCs w:val="19"/>
        </w:rPr>
        <w:t xml:space="preserve"> muscle strength was all 6-12mm. Patients in the observation group were treated by modified </w:t>
      </w:r>
      <w:proofErr w:type="spellStart"/>
      <w:r w:rsidRPr="00277B52">
        <w:rPr>
          <w:rFonts w:ascii="Times New Roman" w:eastAsia="楷体_GB2312" w:hAnsi="Times New Roman" w:cs="Times New Roman"/>
          <w:color w:val="000000"/>
          <w:kern w:val="0"/>
          <w:sz w:val="19"/>
          <w:szCs w:val="19"/>
        </w:rPr>
        <w:t>levator</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palpebrae</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superioris</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orbicularis</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oculi</w:t>
      </w:r>
      <w:proofErr w:type="spellEnd"/>
      <w:r w:rsidRPr="00277B52">
        <w:rPr>
          <w:rFonts w:ascii="Times New Roman" w:eastAsia="楷体_GB2312" w:hAnsi="Times New Roman" w:cs="Times New Roman"/>
          <w:color w:val="000000"/>
          <w:kern w:val="0"/>
          <w:sz w:val="19"/>
          <w:szCs w:val="19"/>
        </w:rPr>
        <w:t xml:space="preserve"> fixation </w:t>
      </w:r>
      <w:proofErr w:type="spellStart"/>
      <w:r w:rsidRPr="00277B52">
        <w:rPr>
          <w:rFonts w:ascii="Times New Roman" w:eastAsia="楷体_GB2312" w:hAnsi="Times New Roman" w:cs="Times New Roman"/>
          <w:color w:val="000000"/>
          <w:kern w:val="0"/>
          <w:sz w:val="19"/>
          <w:szCs w:val="19"/>
        </w:rPr>
        <w:t>blepharoplasty</w:t>
      </w:r>
      <w:proofErr w:type="spellEnd"/>
      <w:r w:rsidRPr="00277B52">
        <w:rPr>
          <w:rFonts w:ascii="Times New Roman" w:eastAsia="楷体_GB2312" w:hAnsi="Times New Roman" w:cs="Times New Roman"/>
          <w:color w:val="000000"/>
          <w:kern w:val="0"/>
          <w:sz w:val="19"/>
          <w:szCs w:val="19"/>
        </w:rPr>
        <w:t xml:space="preserve">, and in the control group were treated by shortening </w:t>
      </w:r>
      <w:proofErr w:type="spellStart"/>
      <w:r w:rsidRPr="00277B52">
        <w:rPr>
          <w:rFonts w:ascii="Times New Roman" w:eastAsia="楷体_GB2312" w:hAnsi="Times New Roman" w:cs="Times New Roman"/>
          <w:color w:val="000000"/>
          <w:kern w:val="0"/>
          <w:sz w:val="19"/>
          <w:szCs w:val="19"/>
        </w:rPr>
        <w:t>levator</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palpebrae</w:t>
      </w:r>
      <w:proofErr w:type="spellEnd"/>
      <w:r w:rsidRPr="00277B52">
        <w:rPr>
          <w:rFonts w:ascii="Times New Roman" w:eastAsia="楷体_GB2312" w:hAnsi="Times New Roman" w:cs="Times New Roman"/>
          <w:color w:val="000000"/>
          <w:kern w:val="0"/>
          <w:sz w:val="19"/>
          <w:szCs w:val="19"/>
        </w:rPr>
        <w:t xml:space="preserve"> muscle</w:t>
      </w:r>
      <w:r w:rsidRPr="00277B52">
        <w:rPr>
          <w:rFonts w:ascii="Times New Roman" w:eastAsia="楷体_GB2312" w:hAnsi="Times New Roman" w:cs="Times New Roman"/>
          <w:color w:val="000000"/>
          <w:spacing w:val="-4"/>
          <w:kern w:val="0"/>
          <w:sz w:val="19"/>
          <w:szCs w:val="19"/>
        </w:rPr>
        <w:t xml:space="preserve">. The treatment effect and complications were analyzed immediate after operation, one month after operation and 6 months after operation. </w:t>
      </w:r>
      <w:r w:rsidRPr="00277B52">
        <w:rPr>
          <w:rFonts w:ascii="Didot HTF-B06-" w:eastAsia="楷体_GB2312" w:hAnsi="Didot HTF-B06-" w:cs="Didot HTF-B06-"/>
          <w:b/>
          <w:bCs/>
          <w:color w:val="000000"/>
          <w:spacing w:val="-4"/>
          <w:kern w:val="0"/>
          <w:sz w:val="19"/>
        </w:rPr>
        <w:t xml:space="preserve">Results </w:t>
      </w:r>
      <w:r w:rsidRPr="00277B52">
        <w:rPr>
          <w:rFonts w:ascii="Times New Roman" w:eastAsia="楷体_GB2312" w:hAnsi="Times New Roman" w:cs="Times New Roman"/>
          <w:color w:val="000000"/>
          <w:spacing w:val="-4"/>
          <w:kern w:val="0"/>
          <w:sz w:val="19"/>
          <w:szCs w:val="19"/>
        </w:rPr>
        <w:t xml:space="preserve"> The position of upper eyelid margin of patients in the observation group returned to normal, and they were without </w:t>
      </w:r>
      <w:proofErr w:type="spellStart"/>
      <w:r w:rsidRPr="00277B52">
        <w:rPr>
          <w:rFonts w:ascii="Times New Roman" w:eastAsia="楷体_GB2312" w:hAnsi="Times New Roman" w:cs="Times New Roman"/>
          <w:color w:val="000000"/>
          <w:spacing w:val="-4"/>
          <w:kern w:val="0"/>
          <w:sz w:val="19"/>
          <w:szCs w:val="19"/>
        </w:rPr>
        <w:t>palpebral</w:t>
      </w:r>
      <w:proofErr w:type="spellEnd"/>
      <w:r w:rsidRPr="00277B52">
        <w:rPr>
          <w:rFonts w:ascii="Times New Roman" w:eastAsia="楷体_GB2312" w:hAnsi="Times New Roman" w:cs="Times New Roman"/>
          <w:color w:val="000000"/>
          <w:spacing w:val="-4"/>
          <w:kern w:val="0"/>
          <w:sz w:val="19"/>
          <w:szCs w:val="19"/>
        </w:rPr>
        <w:t xml:space="preserve"> fissure incomplete closure, only slight swelling found immediate after operation. There was only 5 eyes in the observation group with slight </w:t>
      </w:r>
      <w:proofErr w:type="spellStart"/>
      <w:r w:rsidRPr="00277B52">
        <w:rPr>
          <w:rFonts w:ascii="Times New Roman" w:eastAsia="楷体_GB2312" w:hAnsi="Times New Roman" w:cs="Times New Roman"/>
          <w:color w:val="000000"/>
          <w:spacing w:val="-4"/>
          <w:kern w:val="0"/>
          <w:sz w:val="19"/>
          <w:szCs w:val="19"/>
        </w:rPr>
        <w:t>undercorrection</w:t>
      </w:r>
      <w:proofErr w:type="spellEnd"/>
      <w:r w:rsidRPr="00277B52">
        <w:rPr>
          <w:rFonts w:ascii="Times New Roman" w:eastAsia="楷体_GB2312" w:hAnsi="Times New Roman" w:cs="Times New Roman"/>
          <w:color w:val="000000"/>
          <w:spacing w:val="-4"/>
          <w:kern w:val="0"/>
          <w:sz w:val="19"/>
          <w:szCs w:val="19"/>
        </w:rPr>
        <w:t xml:space="preserve"> and no one with overcorrection one month after operation. The short-term curative effect of the observation group was better than that of the control group, the difference was statistically significant (P</w:t>
      </w:r>
      <w:r w:rsidRPr="00277B52">
        <w:rPr>
          <w:rFonts w:ascii="宋体" w:eastAsia="宋体" w:hAnsi="Times New Roman" w:cs="宋体" w:hint="eastAsia"/>
          <w:color w:val="000000"/>
          <w:spacing w:val="-4"/>
          <w:kern w:val="0"/>
          <w:sz w:val="19"/>
          <w:szCs w:val="19"/>
        </w:rPr>
        <w:t>＜</w:t>
      </w:r>
      <w:r w:rsidRPr="00277B52">
        <w:rPr>
          <w:rFonts w:ascii="Times New Roman" w:eastAsia="楷体_GB2312" w:hAnsi="Times New Roman" w:cs="Times New Roman"/>
          <w:color w:val="000000"/>
          <w:spacing w:val="-4"/>
          <w:kern w:val="0"/>
          <w:sz w:val="19"/>
          <w:szCs w:val="19"/>
        </w:rPr>
        <w:t>0.05). Six months after operation, the double eyelid arc of patients was smooth and natural, and the incidence of complications (6.06%) in the observation group was significantly lower than that of the control group (38.71%), also the patient satisfaction (84.00%) of the observation group higher than that of the control group (52.00%), the differences were statistically significant (P</w:t>
      </w:r>
      <w:r w:rsidRPr="00277B52">
        <w:rPr>
          <w:rFonts w:ascii="宋体" w:eastAsia="宋体" w:hAnsi="Times New Roman" w:cs="宋体" w:hint="eastAsia"/>
          <w:color w:val="000000"/>
          <w:spacing w:val="-4"/>
          <w:kern w:val="0"/>
          <w:sz w:val="19"/>
          <w:szCs w:val="19"/>
        </w:rPr>
        <w:t>＜</w:t>
      </w:r>
      <w:r w:rsidRPr="00277B52">
        <w:rPr>
          <w:rFonts w:ascii="Times New Roman" w:eastAsia="楷体_GB2312" w:hAnsi="Times New Roman" w:cs="Times New Roman"/>
          <w:color w:val="000000"/>
          <w:spacing w:val="-4"/>
          <w:kern w:val="0"/>
          <w:sz w:val="19"/>
          <w:szCs w:val="19"/>
        </w:rPr>
        <w:t xml:space="preserve">0.05). </w:t>
      </w:r>
      <w:r w:rsidRPr="00277B52">
        <w:rPr>
          <w:rFonts w:ascii="Didot HTF-B06-" w:eastAsia="楷体_GB2312" w:hAnsi="Didot HTF-B06-" w:cs="Didot HTF-B06-"/>
          <w:b/>
          <w:bCs/>
          <w:color w:val="000000"/>
          <w:spacing w:val="-4"/>
          <w:kern w:val="0"/>
          <w:sz w:val="19"/>
        </w:rPr>
        <w:t xml:space="preserve">Conclusion </w:t>
      </w:r>
      <w:r w:rsidRPr="00277B52">
        <w:rPr>
          <w:rFonts w:ascii="Times New Roman" w:eastAsia="楷体_GB2312" w:hAnsi="Times New Roman" w:cs="Times New Roman"/>
          <w:color w:val="000000"/>
          <w:spacing w:val="-4"/>
          <w:kern w:val="0"/>
          <w:sz w:val="19"/>
          <w:szCs w:val="19"/>
        </w:rPr>
        <w:t xml:space="preserve"> Modified </w:t>
      </w:r>
      <w:proofErr w:type="spellStart"/>
      <w:r w:rsidRPr="00277B52">
        <w:rPr>
          <w:rFonts w:ascii="Times New Roman" w:eastAsia="楷体_GB2312" w:hAnsi="Times New Roman" w:cs="Times New Roman"/>
          <w:color w:val="000000"/>
          <w:spacing w:val="-4"/>
          <w:kern w:val="0"/>
          <w:sz w:val="19"/>
          <w:szCs w:val="19"/>
        </w:rPr>
        <w:t>levator</w:t>
      </w:r>
      <w:proofErr w:type="spellEnd"/>
      <w:r w:rsidRPr="00277B52">
        <w:rPr>
          <w:rFonts w:ascii="Times New Roman" w:eastAsia="楷体_GB2312" w:hAnsi="Times New Roman" w:cs="Times New Roman"/>
          <w:color w:val="000000"/>
          <w:spacing w:val="-4"/>
          <w:kern w:val="0"/>
          <w:sz w:val="19"/>
          <w:szCs w:val="19"/>
        </w:rPr>
        <w:t xml:space="preserve"> </w:t>
      </w:r>
      <w:proofErr w:type="spellStart"/>
      <w:r w:rsidRPr="00277B52">
        <w:rPr>
          <w:rFonts w:ascii="Times New Roman" w:eastAsia="楷体_GB2312" w:hAnsi="Times New Roman" w:cs="Times New Roman"/>
          <w:color w:val="000000"/>
          <w:spacing w:val="-4"/>
          <w:kern w:val="0"/>
          <w:sz w:val="19"/>
          <w:szCs w:val="19"/>
        </w:rPr>
        <w:t>palpebrae</w:t>
      </w:r>
      <w:proofErr w:type="spellEnd"/>
      <w:r w:rsidRPr="00277B52">
        <w:rPr>
          <w:rFonts w:ascii="Times New Roman" w:eastAsia="楷体_GB2312" w:hAnsi="Times New Roman" w:cs="Times New Roman"/>
          <w:color w:val="000000"/>
          <w:spacing w:val="-4"/>
          <w:kern w:val="0"/>
          <w:sz w:val="19"/>
          <w:szCs w:val="19"/>
        </w:rPr>
        <w:t xml:space="preserve"> </w:t>
      </w:r>
      <w:proofErr w:type="spellStart"/>
      <w:r w:rsidRPr="00277B52">
        <w:rPr>
          <w:rFonts w:ascii="Times New Roman" w:eastAsia="楷体_GB2312" w:hAnsi="Times New Roman" w:cs="Times New Roman"/>
          <w:color w:val="000000"/>
          <w:spacing w:val="-4"/>
          <w:kern w:val="0"/>
          <w:sz w:val="19"/>
          <w:szCs w:val="19"/>
        </w:rPr>
        <w:t>superioris</w:t>
      </w:r>
      <w:proofErr w:type="spellEnd"/>
      <w:r w:rsidRPr="00277B52">
        <w:rPr>
          <w:rFonts w:ascii="Times New Roman" w:eastAsia="楷体_GB2312" w:hAnsi="Times New Roman" w:cs="Times New Roman"/>
          <w:color w:val="000000"/>
          <w:spacing w:val="-4"/>
          <w:kern w:val="0"/>
          <w:sz w:val="19"/>
          <w:szCs w:val="19"/>
        </w:rPr>
        <w:t xml:space="preserve"> </w:t>
      </w:r>
      <w:proofErr w:type="spellStart"/>
      <w:r w:rsidRPr="00277B52">
        <w:rPr>
          <w:rFonts w:ascii="Times New Roman" w:eastAsia="楷体_GB2312" w:hAnsi="Times New Roman" w:cs="Times New Roman"/>
          <w:color w:val="000000"/>
          <w:spacing w:val="-4"/>
          <w:kern w:val="0"/>
          <w:sz w:val="19"/>
          <w:szCs w:val="19"/>
        </w:rPr>
        <w:t>orbicularis</w:t>
      </w:r>
      <w:proofErr w:type="spellEnd"/>
      <w:r w:rsidRPr="00277B52">
        <w:rPr>
          <w:rFonts w:ascii="Times New Roman" w:eastAsia="楷体_GB2312" w:hAnsi="Times New Roman" w:cs="Times New Roman"/>
          <w:color w:val="000000"/>
          <w:spacing w:val="-4"/>
          <w:kern w:val="0"/>
          <w:sz w:val="19"/>
          <w:szCs w:val="19"/>
        </w:rPr>
        <w:t xml:space="preserve"> </w:t>
      </w:r>
      <w:proofErr w:type="spellStart"/>
      <w:r w:rsidRPr="00277B52">
        <w:rPr>
          <w:rFonts w:ascii="Times New Roman" w:eastAsia="楷体_GB2312" w:hAnsi="Times New Roman" w:cs="Times New Roman"/>
          <w:color w:val="000000"/>
          <w:spacing w:val="-4"/>
          <w:kern w:val="0"/>
          <w:sz w:val="19"/>
          <w:szCs w:val="19"/>
        </w:rPr>
        <w:t>oculi</w:t>
      </w:r>
      <w:proofErr w:type="spellEnd"/>
      <w:r w:rsidRPr="00277B52">
        <w:rPr>
          <w:rFonts w:ascii="Times New Roman" w:eastAsia="楷体_GB2312" w:hAnsi="Times New Roman" w:cs="Times New Roman"/>
          <w:color w:val="000000"/>
          <w:spacing w:val="-4"/>
          <w:kern w:val="0"/>
          <w:sz w:val="19"/>
          <w:szCs w:val="19"/>
        </w:rPr>
        <w:t xml:space="preserve"> fixation </w:t>
      </w:r>
      <w:proofErr w:type="spellStart"/>
      <w:r w:rsidRPr="00277B52">
        <w:rPr>
          <w:rFonts w:ascii="Times New Roman" w:eastAsia="楷体_GB2312" w:hAnsi="Times New Roman" w:cs="Times New Roman"/>
          <w:color w:val="000000"/>
          <w:kern w:val="0"/>
          <w:sz w:val="19"/>
          <w:szCs w:val="19"/>
        </w:rPr>
        <w:t>blepharoplasty</w:t>
      </w:r>
      <w:proofErr w:type="spellEnd"/>
      <w:r w:rsidRPr="00277B52">
        <w:rPr>
          <w:rFonts w:ascii="Times New Roman" w:eastAsia="楷体_GB2312" w:hAnsi="Times New Roman" w:cs="Times New Roman"/>
          <w:color w:val="000000"/>
          <w:kern w:val="0"/>
          <w:sz w:val="19"/>
          <w:szCs w:val="19"/>
        </w:rPr>
        <w:t xml:space="preserve"> for correcting mild </w:t>
      </w:r>
      <w:proofErr w:type="spellStart"/>
      <w:r w:rsidRPr="00277B52">
        <w:rPr>
          <w:rFonts w:ascii="Times New Roman" w:eastAsia="楷体_GB2312" w:hAnsi="Times New Roman" w:cs="Times New Roman"/>
          <w:color w:val="000000"/>
          <w:kern w:val="0"/>
          <w:sz w:val="19"/>
          <w:szCs w:val="19"/>
        </w:rPr>
        <w:t>blepharoptosis</w:t>
      </w:r>
      <w:proofErr w:type="spellEnd"/>
      <w:r w:rsidRPr="00277B52">
        <w:rPr>
          <w:rFonts w:ascii="Times New Roman" w:eastAsia="楷体_GB2312" w:hAnsi="Times New Roman" w:cs="Times New Roman"/>
          <w:color w:val="000000"/>
          <w:kern w:val="0"/>
          <w:sz w:val="19"/>
          <w:szCs w:val="19"/>
        </w:rPr>
        <w:t xml:space="preserve"> conforms to ophthalmic anatomy and eyeball dynamics with smaller wound. </w:t>
      </w:r>
      <w:proofErr w:type="spellStart"/>
      <w:r w:rsidRPr="00277B52">
        <w:rPr>
          <w:rFonts w:ascii="Times New Roman" w:eastAsia="楷体_GB2312" w:hAnsi="Times New Roman" w:cs="Times New Roman"/>
          <w:color w:val="000000"/>
          <w:kern w:val="0"/>
          <w:sz w:val="19"/>
          <w:szCs w:val="19"/>
        </w:rPr>
        <w:t>Levator</w:t>
      </w:r>
      <w:proofErr w:type="spellEnd"/>
      <w:r w:rsidRPr="00277B52">
        <w:rPr>
          <w:rFonts w:ascii="Times New Roman" w:eastAsia="楷体_GB2312" w:hAnsi="Times New Roman" w:cs="Times New Roman"/>
          <w:color w:val="000000"/>
          <w:kern w:val="0"/>
          <w:sz w:val="19"/>
          <w:szCs w:val="19"/>
        </w:rPr>
        <w:t xml:space="preserve"> muscle strength of patients is improved after operation. The effect is reliable and the incidence of adverse reactions is low.</w:t>
      </w:r>
    </w:p>
    <w:p w:rsidR="00277B52" w:rsidRPr="00277B52" w:rsidRDefault="00277B52" w:rsidP="00277B52">
      <w:pPr>
        <w:autoSpaceDE w:val="0"/>
        <w:autoSpaceDN w:val="0"/>
        <w:adjustRightInd w:val="0"/>
        <w:spacing w:line="300" w:lineRule="atLeast"/>
        <w:textAlignment w:val="center"/>
        <w:rPr>
          <w:rFonts w:ascii="Times New Roman" w:eastAsia="楷体_GB2312" w:hAnsi="Times New Roman" w:cs="Times New Roman"/>
          <w:color w:val="000000"/>
          <w:kern w:val="0"/>
          <w:sz w:val="19"/>
          <w:szCs w:val="19"/>
        </w:rPr>
      </w:pPr>
      <w:r w:rsidRPr="00277B52">
        <w:rPr>
          <w:rFonts w:ascii="Didot HTF-B06-" w:eastAsia="楷体_GB2312" w:hAnsi="Didot HTF-B06-" w:cs="Didot HTF-B06-"/>
          <w:b/>
          <w:bCs/>
          <w:color w:val="000000"/>
          <w:kern w:val="0"/>
          <w:sz w:val="19"/>
        </w:rPr>
        <w:t>Key words:</w:t>
      </w:r>
      <w:r w:rsidRPr="00277B52">
        <w:rPr>
          <w:rFonts w:ascii="Times New Roman" w:eastAsia="楷体_GB2312" w:hAnsi="Times New Roman" w:cs="Times New Roman"/>
          <w:color w:val="000000"/>
          <w:kern w:val="0"/>
          <w:sz w:val="19"/>
          <w:szCs w:val="19"/>
        </w:rPr>
        <w:t xml:space="preserve"> modified </w:t>
      </w:r>
      <w:proofErr w:type="spellStart"/>
      <w:r w:rsidRPr="00277B52">
        <w:rPr>
          <w:rFonts w:ascii="Times New Roman" w:eastAsia="楷体_GB2312" w:hAnsi="Times New Roman" w:cs="Times New Roman"/>
          <w:color w:val="000000"/>
          <w:kern w:val="0"/>
          <w:sz w:val="19"/>
          <w:szCs w:val="19"/>
        </w:rPr>
        <w:t>levator</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palpebrae</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superioris</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orbicularis</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oculi</w:t>
      </w:r>
      <w:proofErr w:type="spellEnd"/>
      <w:r w:rsidRPr="00277B52">
        <w:rPr>
          <w:rFonts w:ascii="Times New Roman" w:eastAsia="楷体_GB2312" w:hAnsi="Times New Roman" w:cs="Times New Roman"/>
          <w:color w:val="000000"/>
          <w:kern w:val="0"/>
          <w:sz w:val="19"/>
          <w:szCs w:val="19"/>
        </w:rPr>
        <w:t xml:space="preserve"> fixation </w:t>
      </w:r>
      <w:proofErr w:type="spellStart"/>
      <w:r w:rsidRPr="00277B52">
        <w:rPr>
          <w:rFonts w:ascii="Times New Roman" w:eastAsia="楷体_GB2312" w:hAnsi="Times New Roman" w:cs="Times New Roman"/>
          <w:color w:val="000000"/>
          <w:kern w:val="0"/>
          <w:sz w:val="19"/>
          <w:szCs w:val="19"/>
        </w:rPr>
        <w:t>blepharoplasty</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blepharoptosis</w:t>
      </w:r>
      <w:proofErr w:type="spellEnd"/>
      <w:r w:rsidRPr="00277B52">
        <w:rPr>
          <w:rFonts w:ascii="Times New Roman" w:eastAsia="楷体_GB2312" w:hAnsi="Times New Roman" w:cs="Times New Roman"/>
          <w:color w:val="000000"/>
          <w:kern w:val="0"/>
          <w:sz w:val="19"/>
          <w:szCs w:val="19"/>
        </w:rPr>
        <w:t xml:space="preserve">; mild; </w:t>
      </w:r>
      <w:proofErr w:type="spellStart"/>
      <w:r w:rsidRPr="00277B52">
        <w:rPr>
          <w:rFonts w:ascii="Times New Roman" w:eastAsia="楷体_GB2312" w:hAnsi="Times New Roman" w:cs="Times New Roman"/>
          <w:color w:val="000000"/>
          <w:kern w:val="0"/>
          <w:sz w:val="19"/>
          <w:szCs w:val="19"/>
        </w:rPr>
        <w:t>levator</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palpebrae</w:t>
      </w:r>
      <w:proofErr w:type="spellEnd"/>
      <w:r w:rsidRPr="00277B52">
        <w:rPr>
          <w:rFonts w:ascii="Times New Roman" w:eastAsia="楷体_GB2312" w:hAnsi="Times New Roman" w:cs="Times New Roman"/>
          <w:color w:val="000000"/>
          <w:kern w:val="0"/>
          <w:sz w:val="19"/>
          <w:szCs w:val="19"/>
        </w:rPr>
        <w:t xml:space="preserve"> muscle strength; </w:t>
      </w:r>
      <w:proofErr w:type="spellStart"/>
      <w:r w:rsidRPr="00277B52">
        <w:rPr>
          <w:rFonts w:ascii="Times New Roman" w:eastAsia="楷体_GB2312" w:hAnsi="Times New Roman" w:cs="Times New Roman"/>
          <w:color w:val="000000"/>
          <w:kern w:val="0"/>
          <w:sz w:val="19"/>
          <w:szCs w:val="19"/>
        </w:rPr>
        <w:t>levator</w:t>
      </w:r>
      <w:proofErr w:type="spellEnd"/>
      <w:r w:rsidRPr="00277B52">
        <w:rPr>
          <w:rFonts w:ascii="Times New Roman" w:eastAsia="楷体_GB2312" w:hAnsi="Times New Roman" w:cs="Times New Roman"/>
          <w:color w:val="000000"/>
          <w:kern w:val="0"/>
          <w:sz w:val="19"/>
          <w:szCs w:val="19"/>
        </w:rPr>
        <w:t xml:space="preserve"> </w:t>
      </w:r>
      <w:proofErr w:type="spellStart"/>
      <w:r w:rsidRPr="00277B52">
        <w:rPr>
          <w:rFonts w:ascii="Times New Roman" w:eastAsia="楷体_GB2312" w:hAnsi="Times New Roman" w:cs="Times New Roman"/>
          <w:color w:val="000000"/>
          <w:kern w:val="0"/>
          <w:sz w:val="19"/>
          <w:szCs w:val="19"/>
        </w:rPr>
        <w:t>palpebrae</w:t>
      </w:r>
      <w:proofErr w:type="spellEnd"/>
      <w:r w:rsidRPr="00277B52">
        <w:rPr>
          <w:rFonts w:ascii="Times New Roman" w:eastAsia="楷体_GB2312" w:hAnsi="Times New Roman" w:cs="Times New Roman"/>
          <w:color w:val="000000"/>
          <w:kern w:val="0"/>
          <w:sz w:val="19"/>
          <w:szCs w:val="19"/>
        </w:rPr>
        <w:t xml:space="preserve"> muscle shortening; complication</w:t>
      </w:r>
    </w:p>
    <w:p w:rsidR="00277B52" w:rsidRPr="00277B52" w:rsidRDefault="00277B52" w:rsidP="00277B52">
      <w:pPr>
        <w:pStyle w:val="a8"/>
        <w:rPr>
          <w:spacing w:val="4"/>
          <w:lang w:val="en-US"/>
        </w:rPr>
      </w:pPr>
    </w:p>
    <w:p w:rsidR="00AA37C6" w:rsidRPr="00277B52" w:rsidRDefault="00AA37C6" w:rsidP="00277B52"/>
    <w:sectPr w:rsidR="00AA37C6" w:rsidRPr="00277B52" w:rsidSect="00D62675">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043F" w:rsidRDefault="00AA043F" w:rsidP="00E172F8">
      <w:r>
        <w:separator/>
      </w:r>
    </w:p>
  </w:endnote>
  <w:endnote w:type="continuationSeparator" w:id="0">
    <w:p w:rsidR="00AA043F" w:rsidRDefault="00AA043F"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043F" w:rsidRDefault="00AA043F" w:rsidP="00E172F8">
      <w:r>
        <w:separator/>
      </w:r>
    </w:p>
  </w:footnote>
  <w:footnote w:type="continuationSeparator" w:id="0">
    <w:p w:rsidR="00AA043F" w:rsidRDefault="00AA043F"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277B52"/>
    <w:rsid w:val="009F7A00"/>
    <w:rsid w:val="00AA043F"/>
    <w:rsid w:val="00AA37C6"/>
    <w:rsid w:val="00D52EFA"/>
    <w:rsid w:val="00E172F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553</Words>
  <Characters>3153</Characters>
  <Application>Microsoft Office Word</Application>
  <DocSecurity>0</DocSecurity>
  <Lines>26</Lines>
  <Paragraphs>7</Paragraphs>
  <ScaleCrop>false</ScaleCrop>
  <Company>Microsoft</Company>
  <LinksUpToDate>false</LinksUpToDate>
  <CharactersWithSpaces>3699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2022-01-17T03:25:00Z</dcterms:created>
  <dcterms:modified xsi:type="dcterms:W3CDTF">2022-01-17T03:28:00Z</dcterms:modified>
</cp:coreProperties>
</file>