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7C9" w:rsidRDefault="001D07C9" w:rsidP="001D07C9">
      <w:pPr>
        <w:pStyle w:val="ad"/>
        <w:ind w:firstLine="0"/>
        <w:jc w:val="center"/>
        <w:rPr>
          <w:rFonts w:ascii="方正小标宋_GBK" w:eastAsia="方正小标宋_GBK" w:cs="方正小标宋_GBK"/>
          <w:color w:val="7F00FF"/>
          <w:sz w:val="30"/>
          <w:szCs w:val="30"/>
        </w:rPr>
      </w:pPr>
      <w:r>
        <w:rPr>
          <w:rFonts w:ascii="方正小标宋_GBK" w:eastAsia="方正小标宋_GBK" w:cs="方正小标宋_GBK" w:hint="eastAsia"/>
          <w:color w:val="7F00FF"/>
          <w:sz w:val="30"/>
          <w:szCs w:val="30"/>
        </w:rPr>
        <w:t>宽谱与窄谱强脉冲光治疗红斑毛细血管扩张型玫瑰痤疮疗效比较</w:t>
      </w:r>
    </w:p>
    <w:p w:rsidR="001D07C9" w:rsidRDefault="001D07C9" w:rsidP="001D07C9">
      <w:pPr>
        <w:pStyle w:val="ad"/>
        <w:ind w:firstLine="0"/>
        <w:jc w:val="center"/>
        <w:rPr>
          <w:rFonts w:ascii="方正楷体_GBK" w:eastAsia="方正楷体_GBK" w:cs="方正楷体_GBK"/>
          <w:sz w:val="24"/>
          <w:szCs w:val="24"/>
        </w:rPr>
      </w:pPr>
      <w:r>
        <w:rPr>
          <w:rFonts w:ascii="方正楷体_GBK" w:eastAsia="方正楷体_GBK" w:cs="方正楷体_GBK" w:hint="eastAsia"/>
          <w:sz w:val="24"/>
          <w:szCs w:val="24"/>
        </w:rPr>
        <w:t>段鳕芸，周</w:t>
      </w:r>
      <w:r>
        <w:rPr>
          <w:rFonts w:ascii="方正楷体_GBK" w:eastAsia="方正楷体_GBK" w:cs="方正楷体_GBK"/>
          <w:sz w:val="24"/>
          <w:szCs w:val="24"/>
        </w:rPr>
        <w:t xml:space="preserve"> </w:t>
      </w:r>
      <w:r>
        <w:rPr>
          <w:rFonts w:ascii="方正楷体_GBK" w:eastAsia="方正楷体_GBK" w:cs="方正楷体_GBK" w:hint="eastAsia"/>
          <w:sz w:val="24"/>
          <w:szCs w:val="24"/>
        </w:rPr>
        <w:t>舟，刘太华，詹丹丹，张忠奎</w:t>
      </w:r>
    </w:p>
    <w:p w:rsidR="001D07C9" w:rsidRDefault="001D07C9" w:rsidP="001D07C9">
      <w:pPr>
        <w:pStyle w:val="ad"/>
        <w:ind w:firstLine="0"/>
        <w:jc w:val="center"/>
        <w:rPr>
          <w:rFonts w:ascii="方正楷体_GBK" w:eastAsia="方正楷体_GBK" w:cs="方正楷体_GBK"/>
        </w:rPr>
      </w:pPr>
      <w:r>
        <w:rPr>
          <w:rFonts w:ascii="方正楷体_GBK" w:eastAsia="方正楷体_GBK" w:cs="方正楷体_GBK" w:hint="eastAsia"/>
        </w:rPr>
        <w:t>（西部战区总医院皮肤科</w:t>
      </w:r>
      <w:r>
        <w:rPr>
          <w:rFonts w:ascii="方正楷体_GBK" w:eastAsia="方正楷体_GBK" w:cs="方正楷体_GBK"/>
        </w:rPr>
        <w:t xml:space="preserve">  </w:t>
      </w:r>
      <w:r>
        <w:rPr>
          <w:rFonts w:ascii="方正楷体_GBK" w:eastAsia="方正楷体_GBK" w:cs="方正楷体_GBK" w:hint="eastAsia"/>
        </w:rPr>
        <w:t>四川</w:t>
      </w:r>
      <w:r>
        <w:rPr>
          <w:rFonts w:ascii="方正楷体_GBK" w:eastAsia="方正楷体_GBK" w:cs="方正楷体_GBK"/>
        </w:rPr>
        <w:t xml:space="preserve"> </w:t>
      </w:r>
      <w:r>
        <w:rPr>
          <w:rFonts w:ascii="方正楷体_GBK" w:eastAsia="方正楷体_GBK" w:cs="方正楷体_GBK" w:hint="eastAsia"/>
        </w:rPr>
        <w:t>成都</w:t>
      </w:r>
      <w:r>
        <w:rPr>
          <w:rFonts w:ascii="方正楷体_GBK" w:eastAsia="方正楷体_GBK" w:cs="方正楷体_GBK"/>
        </w:rPr>
        <w:t xml:space="preserve">  610083</w:t>
      </w:r>
      <w:r>
        <w:rPr>
          <w:rFonts w:ascii="方正楷体_GBK" w:eastAsia="方正楷体_GBK" w:cs="方正楷体_GBK" w:hint="eastAsia"/>
        </w:rPr>
        <w:t>）</w:t>
      </w:r>
    </w:p>
    <w:p w:rsidR="001D07C9" w:rsidRDefault="001D07C9" w:rsidP="001D07C9">
      <w:pPr>
        <w:pStyle w:val="a8"/>
      </w:pPr>
      <w:r>
        <w:rPr>
          <w:rStyle w:val="9"/>
        </w:rPr>
        <w:t>[</w:t>
      </w:r>
      <w:r>
        <w:rPr>
          <w:rStyle w:val="9"/>
          <w:rFonts w:hint="eastAsia"/>
        </w:rPr>
        <w:t>摘要</w:t>
      </w:r>
      <w:r>
        <w:rPr>
          <w:rStyle w:val="9"/>
        </w:rPr>
        <w:t>]</w:t>
      </w:r>
      <w:r>
        <w:rPr>
          <w:rStyle w:val="9"/>
          <w:rFonts w:hint="eastAsia"/>
        </w:rPr>
        <w:t>目的：</w:t>
      </w:r>
      <w:r>
        <w:rPr>
          <w:rFonts w:hint="eastAsia"/>
        </w:rPr>
        <w:t>比较宽谱与窄谱强脉冲光治疗红斑毛细血管扩张型玫瑰痤疮</w:t>
      </w:r>
      <w:r>
        <w:t>(ETR)</w:t>
      </w:r>
      <w:r>
        <w:rPr>
          <w:rFonts w:hint="eastAsia"/>
        </w:rPr>
        <w:t>的疗效及安全性。</w:t>
      </w:r>
      <w:r>
        <w:rPr>
          <w:rStyle w:val="9"/>
          <w:rFonts w:hint="eastAsia"/>
        </w:rPr>
        <w:t>方法：</w:t>
      </w:r>
      <w:r>
        <w:rPr>
          <w:rFonts w:hint="eastAsia"/>
        </w:rPr>
        <w:t>回顾性纳入</w:t>
      </w:r>
      <w:r>
        <w:t>2020</w:t>
      </w:r>
      <w:r>
        <w:rPr>
          <w:rFonts w:hint="eastAsia"/>
        </w:rPr>
        <w:t>年</w:t>
      </w:r>
      <w:r>
        <w:t>1</w:t>
      </w:r>
      <w:r>
        <w:rPr>
          <w:rFonts w:hint="eastAsia"/>
        </w:rPr>
        <w:t>月</w:t>
      </w:r>
      <w:r>
        <w:t>-2020</w:t>
      </w:r>
      <w:r>
        <w:rPr>
          <w:rFonts w:hint="eastAsia"/>
        </w:rPr>
        <w:t>年</w:t>
      </w:r>
      <w:r>
        <w:t>12</w:t>
      </w:r>
      <w:r>
        <w:rPr>
          <w:rFonts w:hint="eastAsia"/>
        </w:rPr>
        <w:t>月于笔者医院收治的</w:t>
      </w:r>
      <w:r>
        <w:t>100</w:t>
      </w:r>
      <w:r>
        <w:rPr>
          <w:rFonts w:hint="eastAsia"/>
        </w:rPr>
        <w:t>例红斑毛细血管扩张型玫瑰痤疮患者资料，分别采用宽谱完美脉冲技术</w:t>
      </w:r>
      <w:r>
        <w:t>(OPT)</w:t>
      </w:r>
      <w:r>
        <w:rPr>
          <w:rFonts w:hint="eastAsia"/>
        </w:rPr>
        <w:t>与窄谱精准脉冲光</w:t>
      </w:r>
      <w:r>
        <w:t>(DPL)</w:t>
      </w:r>
      <w:r>
        <w:rPr>
          <w:rFonts w:hint="eastAsia"/>
        </w:rPr>
        <w:t>进行治疗，每组</w:t>
      </w:r>
      <w:r>
        <w:t>50</w:t>
      </w:r>
      <w:r>
        <w:rPr>
          <w:rFonts w:hint="eastAsia"/>
        </w:rPr>
        <w:t>例。治疗后随访</w:t>
      </w:r>
      <w:r>
        <w:t>6</w:t>
      </w:r>
      <w:r>
        <w:rPr>
          <w:rFonts w:hint="eastAsia"/>
        </w:rPr>
        <w:t>个月，采用临床红斑评定量表</w:t>
      </w:r>
      <w:r>
        <w:t>(CEA)</w:t>
      </w:r>
      <w:r>
        <w:rPr>
          <w:rFonts w:hint="eastAsia"/>
        </w:rPr>
        <w:t>与医生整体评价法</w:t>
      </w:r>
      <w:r>
        <w:t>(PGA)</w:t>
      </w:r>
      <w:r>
        <w:rPr>
          <w:rFonts w:hint="eastAsia"/>
        </w:rPr>
        <w:t>分别评价红斑及毛细血管扩张的改善情况，采用广义线性混合模型比较不同组别及不同治疗次数患者的</w:t>
      </w:r>
      <w:r>
        <w:t>CEA</w:t>
      </w:r>
      <w:r>
        <w:rPr>
          <w:rFonts w:hint="eastAsia"/>
        </w:rPr>
        <w:t>评分及</w:t>
      </w:r>
      <w:r>
        <w:t>PGA</w:t>
      </w:r>
      <w:r>
        <w:rPr>
          <w:rFonts w:hint="eastAsia"/>
        </w:rPr>
        <w:t>评分，记录不良反应发生情况。</w:t>
      </w:r>
      <w:r>
        <w:rPr>
          <w:rStyle w:val="9"/>
          <w:rFonts w:hint="eastAsia"/>
        </w:rPr>
        <w:t>结果：</w:t>
      </w:r>
      <w:r>
        <w:rPr>
          <w:rFonts w:hint="eastAsia"/>
        </w:rPr>
        <w:t>所有患者均获得完整随访。</w:t>
      </w:r>
      <w:r>
        <w:t>OPT</w:t>
      </w:r>
      <w:r>
        <w:rPr>
          <w:rFonts w:hint="eastAsia"/>
        </w:rPr>
        <w:t>组与</w:t>
      </w:r>
      <w:r>
        <w:t>DPL</w:t>
      </w:r>
      <w:r>
        <w:rPr>
          <w:rFonts w:hint="eastAsia"/>
        </w:rPr>
        <w:t>组治疗次数分别为</w:t>
      </w:r>
      <w:r>
        <w:t>(3.48</w:t>
      </w:r>
      <w:r>
        <w:rPr>
          <w:rFonts w:hint="eastAsia"/>
        </w:rPr>
        <w:t>±</w:t>
      </w:r>
      <w:r>
        <w:t>0.76)</w:t>
      </w:r>
      <w:r>
        <w:rPr>
          <w:rFonts w:hint="eastAsia"/>
        </w:rPr>
        <w:t>次、</w:t>
      </w:r>
      <w:r>
        <w:t>(2.98</w:t>
      </w:r>
      <w:r>
        <w:rPr>
          <w:rFonts w:hint="eastAsia"/>
        </w:rPr>
        <w:t>±</w:t>
      </w:r>
      <w:r>
        <w:t>0.45)</w:t>
      </w:r>
      <w:r>
        <w:rPr>
          <w:rFonts w:hint="eastAsia"/>
        </w:rPr>
        <w:t>次，差异无统计学意义</w:t>
      </w:r>
      <w:r>
        <w:t>(P</w:t>
      </w:r>
      <w:r>
        <w:rPr>
          <w:rFonts w:hint="eastAsia"/>
        </w:rPr>
        <w:t>＞</w:t>
      </w:r>
      <w:r>
        <w:t>0.05)</w:t>
      </w:r>
      <w:r>
        <w:rPr>
          <w:rFonts w:hint="eastAsia"/>
        </w:rPr>
        <w:t>；</w:t>
      </w:r>
      <w:r>
        <w:t>DPL</w:t>
      </w:r>
      <w:r>
        <w:rPr>
          <w:rFonts w:hint="eastAsia"/>
        </w:rPr>
        <w:t>组的能量密度明显低于</w:t>
      </w:r>
      <w:r>
        <w:t>OPT</w:t>
      </w:r>
      <w:r>
        <w:rPr>
          <w:rFonts w:hint="eastAsia"/>
        </w:rPr>
        <w:t>组</w:t>
      </w:r>
      <w:r>
        <w:t>[(9.340</w:t>
      </w:r>
      <w:r>
        <w:rPr>
          <w:rFonts w:hint="eastAsia"/>
        </w:rPr>
        <w:t>±</w:t>
      </w:r>
      <w:r>
        <w:t>2.11)J/cm</w:t>
      </w:r>
      <w:r>
        <w:rPr>
          <w:vertAlign w:val="superscript"/>
        </w:rPr>
        <w:t>2</w:t>
      </w:r>
      <w:r>
        <w:t xml:space="preserve"> vs (16.33</w:t>
      </w:r>
      <w:r>
        <w:rPr>
          <w:rFonts w:hint="eastAsia"/>
        </w:rPr>
        <w:t>±</w:t>
      </w:r>
      <w:r>
        <w:t>4.78)J/cm</w:t>
      </w:r>
      <w:r>
        <w:rPr>
          <w:vertAlign w:val="superscript"/>
        </w:rPr>
        <w:t>2</w:t>
      </w:r>
      <w:r>
        <w:t>]</w:t>
      </w:r>
      <w:r>
        <w:rPr>
          <w:rFonts w:hint="eastAsia"/>
        </w:rPr>
        <w:t>，差异有统计学意义</w:t>
      </w:r>
      <w:r>
        <w:t>(P</w:t>
      </w:r>
      <w:r>
        <w:rPr>
          <w:rFonts w:hint="eastAsia"/>
        </w:rPr>
        <w:t>＜</w:t>
      </w:r>
      <w:r>
        <w:t>0.05)</w:t>
      </w:r>
      <w:r>
        <w:rPr>
          <w:rFonts w:hint="eastAsia"/>
        </w:rPr>
        <w:t>。不同组别及不同治疗次数患者之间的</w:t>
      </w:r>
      <w:r>
        <w:t>CEA</w:t>
      </w:r>
      <w:r>
        <w:rPr>
          <w:rFonts w:hint="eastAsia"/>
        </w:rPr>
        <w:t>评分、</w:t>
      </w:r>
      <w:r>
        <w:t>PGA</w:t>
      </w:r>
      <w:r>
        <w:rPr>
          <w:rFonts w:hint="eastAsia"/>
        </w:rPr>
        <w:t>评分无交互作用</w:t>
      </w:r>
      <w:r>
        <w:t>(F</w:t>
      </w:r>
      <w:r>
        <w:rPr>
          <w:rFonts w:hint="eastAsia"/>
          <w:vertAlign w:val="subscript"/>
        </w:rPr>
        <w:t>交互</w:t>
      </w:r>
      <w:r>
        <w:t>=0.553</w:t>
      </w:r>
      <w:r>
        <w:rPr>
          <w:rFonts w:hint="eastAsia"/>
        </w:rPr>
        <w:t>、</w:t>
      </w:r>
      <w:r>
        <w:t>1.024</w:t>
      </w:r>
      <w:r>
        <w:rPr>
          <w:rFonts w:hint="eastAsia"/>
        </w:rPr>
        <w:t>，</w:t>
      </w:r>
      <w:r>
        <w:t>P</w:t>
      </w:r>
      <w:r>
        <w:rPr>
          <w:rFonts w:hint="eastAsia"/>
          <w:vertAlign w:val="subscript"/>
        </w:rPr>
        <w:t>交互</w:t>
      </w:r>
      <w:r>
        <w:t>=0.628</w:t>
      </w:r>
      <w:r>
        <w:rPr>
          <w:rFonts w:hint="eastAsia"/>
        </w:rPr>
        <w:t>、</w:t>
      </w:r>
      <w:r>
        <w:t>0.216)</w:t>
      </w:r>
      <w:r>
        <w:rPr>
          <w:rFonts w:hint="eastAsia"/>
        </w:rPr>
        <w:t>，不同组别患者之间</w:t>
      </w:r>
      <w:r>
        <w:t>CEA</w:t>
      </w:r>
      <w:r>
        <w:rPr>
          <w:rFonts w:hint="eastAsia"/>
        </w:rPr>
        <w:t>评分、</w:t>
      </w:r>
      <w:r>
        <w:t>PGA</w:t>
      </w:r>
      <w:r>
        <w:rPr>
          <w:rFonts w:hint="eastAsia"/>
        </w:rPr>
        <w:t>评分的比较差异无统计学意义</w:t>
      </w:r>
      <w:r>
        <w:t>(F</w:t>
      </w:r>
      <w:r>
        <w:rPr>
          <w:rFonts w:hint="eastAsia"/>
          <w:vertAlign w:val="subscript"/>
        </w:rPr>
        <w:t>组间</w:t>
      </w:r>
      <w:r>
        <w:t>=0.827</w:t>
      </w:r>
      <w:r>
        <w:rPr>
          <w:rFonts w:hint="eastAsia"/>
        </w:rPr>
        <w:t>、</w:t>
      </w:r>
      <w:r>
        <w:t>2.735</w:t>
      </w:r>
      <w:r>
        <w:rPr>
          <w:rFonts w:hint="eastAsia"/>
        </w:rPr>
        <w:t>，</w:t>
      </w:r>
      <w:r>
        <w:t>P</w:t>
      </w:r>
      <w:r>
        <w:rPr>
          <w:rFonts w:hint="eastAsia"/>
          <w:vertAlign w:val="subscript"/>
        </w:rPr>
        <w:t>组间</w:t>
      </w:r>
      <w:r>
        <w:t>=0.352</w:t>
      </w:r>
      <w:r>
        <w:rPr>
          <w:rFonts w:hint="eastAsia"/>
        </w:rPr>
        <w:t>、</w:t>
      </w:r>
      <w:r>
        <w:t>0.082)</w:t>
      </w:r>
      <w:r>
        <w:rPr>
          <w:rFonts w:hint="eastAsia"/>
        </w:rPr>
        <w:t>，不同治疗次数患者之间</w:t>
      </w:r>
      <w:r>
        <w:t>CEA</w:t>
      </w:r>
      <w:r>
        <w:rPr>
          <w:rFonts w:hint="eastAsia"/>
        </w:rPr>
        <w:t>评分、</w:t>
      </w:r>
      <w:r>
        <w:t>PGA</w:t>
      </w:r>
      <w:r>
        <w:rPr>
          <w:rFonts w:hint="eastAsia"/>
        </w:rPr>
        <w:t>评分的比较差异有统计学意义</w:t>
      </w:r>
      <w:r>
        <w:t>(F</w:t>
      </w:r>
      <w:r>
        <w:rPr>
          <w:rFonts w:hint="eastAsia"/>
          <w:vertAlign w:val="subscript"/>
        </w:rPr>
        <w:t>次数</w:t>
      </w:r>
      <w:r>
        <w:t>=17.875</w:t>
      </w:r>
      <w:r>
        <w:rPr>
          <w:rFonts w:hint="eastAsia"/>
        </w:rPr>
        <w:t>、</w:t>
      </w:r>
      <w:r>
        <w:t>18.527</w:t>
      </w:r>
      <w:r>
        <w:rPr>
          <w:rFonts w:hint="eastAsia"/>
        </w:rPr>
        <w:t>，</w:t>
      </w:r>
      <w:r>
        <w:t>P</w:t>
      </w:r>
      <w:r>
        <w:rPr>
          <w:rFonts w:hint="eastAsia"/>
          <w:vertAlign w:val="subscript"/>
        </w:rPr>
        <w:t>次数</w:t>
      </w:r>
      <w:r>
        <w:t>=0.000</w:t>
      </w:r>
      <w:r>
        <w:rPr>
          <w:rFonts w:hint="eastAsia"/>
        </w:rPr>
        <w:t>、</w:t>
      </w:r>
      <w:r>
        <w:t>0.000)</w:t>
      </w:r>
      <w:r>
        <w:rPr>
          <w:rFonts w:hint="eastAsia"/>
        </w:rPr>
        <w:t>；随着治疗次数的增加，两组患者的红斑严重程度明显降低，毛细血管扩张清除率明显升高，差异有统计学意义</w:t>
      </w:r>
      <w:r>
        <w:t>(P</w:t>
      </w:r>
      <w:r>
        <w:rPr>
          <w:rFonts w:hint="eastAsia"/>
        </w:rPr>
        <w:t>＜</w:t>
      </w:r>
      <w:r>
        <w:t>0.05)</w:t>
      </w:r>
      <w:r>
        <w:rPr>
          <w:rFonts w:hint="eastAsia"/>
        </w:rPr>
        <w:t>；</w:t>
      </w:r>
      <w:r>
        <w:t>DPL</w:t>
      </w:r>
      <w:r>
        <w:rPr>
          <w:rFonts w:hint="eastAsia"/>
        </w:rPr>
        <w:t>组的不良反应发生率明显低于</w:t>
      </w:r>
      <w:r>
        <w:t>OPT</w:t>
      </w:r>
      <w:r>
        <w:rPr>
          <w:rFonts w:hint="eastAsia"/>
        </w:rPr>
        <w:t>组</w:t>
      </w:r>
      <w:r>
        <w:t>[6.00%(3/50) vs 20.00%(10/50)]</w:t>
      </w:r>
      <w:r>
        <w:rPr>
          <w:rFonts w:hint="eastAsia"/>
        </w:rPr>
        <w:t>，差异有统计学意义</w:t>
      </w:r>
      <w:r>
        <w:t>(P</w:t>
      </w:r>
      <w:r>
        <w:rPr>
          <w:rFonts w:hint="eastAsia"/>
        </w:rPr>
        <w:t>＜</w:t>
      </w:r>
      <w:r>
        <w:t>0.05)</w:t>
      </w:r>
      <w:r>
        <w:rPr>
          <w:rFonts w:hint="eastAsia"/>
        </w:rPr>
        <w:t>。</w:t>
      </w:r>
      <w:r>
        <w:rPr>
          <w:rStyle w:val="9"/>
          <w:rFonts w:hint="eastAsia"/>
        </w:rPr>
        <w:t>结论：</w:t>
      </w:r>
      <w:r>
        <w:rPr>
          <w:rFonts w:hint="eastAsia"/>
        </w:rPr>
        <w:t>宽谱</w:t>
      </w:r>
      <w:r>
        <w:t>OPT</w:t>
      </w:r>
      <w:r>
        <w:rPr>
          <w:rFonts w:hint="eastAsia"/>
        </w:rPr>
        <w:t>与窄谱</w:t>
      </w:r>
      <w:r>
        <w:t>DPL</w:t>
      </w:r>
      <w:r>
        <w:rPr>
          <w:rFonts w:hint="eastAsia"/>
        </w:rPr>
        <w:t>治疗</w:t>
      </w:r>
      <w:r>
        <w:t>ETR</w:t>
      </w:r>
      <w:r>
        <w:rPr>
          <w:rFonts w:hint="eastAsia"/>
        </w:rPr>
        <w:t>的疗效相当，但</w:t>
      </w:r>
      <w:r>
        <w:t>DPL</w:t>
      </w:r>
      <w:r>
        <w:rPr>
          <w:rFonts w:hint="eastAsia"/>
        </w:rPr>
        <w:t>的安全性更高，所需能量密度更低。</w:t>
      </w:r>
    </w:p>
    <w:p w:rsidR="001D07C9" w:rsidRDefault="001D07C9" w:rsidP="001D07C9">
      <w:pPr>
        <w:pStyle w:val="a8"/>
      </w:pPr>
      <w:r>
        <w:rPr>
          <w:rStyle w:val="9"/>
        </w:rPr>
        <w:t>[</w:t>
      </w:r>
      <w:r>
        <w:rPr>
          <w:rStyle w:val="9"/>
          <w:rFonts w:hint="eastAsia"/>
        </w:rPr>
        <w:t>关键词</w:t>
      </w:r>
      <w:r>
        <w:rPr>
          <w:rStyle w:val="9"/>
        </w:rPr>
        <w:t>]</w:t>
      </w:r>
      <w:r>
        <w:rPr>
          <w:rFonts w:hint="eastAsia"/>
        </w:rPr>
        <w:t>强脉冲光；完美脉冲技术；精准脉冲光；玫瑰痤疮；红斑；毛细血管扩张</w:t>
      </w:r>
    </w:p>
    <w:p w:rsidR="001D07C9" w:rsidRDefault="001D07C9" w:rsidP="001D07C9">
      <w:pPr>
        <w:pStyle w:val="a8"/>
      </w:pPr>
      <w:r>
        <w:t>[</w:t>
      </w:r>
      <w:r>
        <w:rPr>
          <w:rStyle w:val="9"/>
          <w:rFonts w:hint="eastAsia"/>
        </w:rPr>
        <w:t>中图分类号</w:t>
      </w:r>
      <w:r>
        <w:rPr>
          <w:rStyle w:val="9"/>
        </w:rPr>
        <w:t>]</w:t>
      </w:r>
      <w:r>
        <w:t>R758.73</w:t>
      </w:r>
      <w:r>
        <w:rPr>
          <w:vertAlign w:val="superscript"/>
        </w:rPr>
        <w:t>+</w:t>
      </w:r>
      <w:r>
        <w:t xml:space="preserve">4    </w:t>
      </w:r>
      <w:r>
        <w:rPr>
          <w:rStyle w:val="9"/>
        </w:rPr>
        <w:t>[</w:t>
      </w:r>
      <w:r>
        <w:rPr>
          <w:rStyle w:val="9"/>
          <w:rFonts w:hint="eastAsia"/>
        </w:rPr>
        <w:t>文献标志码</w:t>
      </w:r>
      <w:r>
        <w:rPr>
          <w:rStyle w:val="9"/>
        </w:rPr>
        <w:t>]</w:t>
      </w:r>
      <w:r>
        <w:t xml:space="preserve">A    </w:t>
      </w:r>
      <w:r>
        <w:rPr>
          <w:rStyle w:val="9"/>
        </w:rPr>
        <w:t>[</w:t>
      </w:r>
      <w:r>
        <w:rPr>
          <w:rStyle w:val="9"/>
          <w:rFonts w:hint="eastAsia"/>
        </w:rPr>
        <w:t>文章编号</w:t>
      </w:r>
      <w:r>
        <w:rPr>
          <w:rStyle w:val="9"/>
        </w:rPr>
        <w:t>]</w:t>
      </w:r>
      <w:r>
        <w:t>1008-6455</w:t>
      </w:r>
      <w:r>
        <w:rPr>
          <w:rFonts w:hint="eastAsia"/>
        </w:rPr>
        <w:t>（</w:t>
      </w:r>
      <w:r>
        <w:t>2021</w:t>
      </w:r>
      <w:r>
        <w:rPr>
          <w:rFonts w:hint="eastAsia"/>
        </w:rPr>
        <w:t>）</w:t>
      </w:r>
      <w:r>
        <w:t>12-0075-04</w:t>
      </w:r>
    </w:p>
    <w:p w:rsidR="001D07C9" w:rsidRDefault="001D07C9" w:rsidP="001D07C9">
      <w:pPr>
        <w:pStyle w:val="a9"/>
      </w:pPr>
    </w:p>
    <w:p w:rsidR="001D07C9" w:rsidRPr="001D07C9" w:rsidRDefault="001D07C9" w:rsidP="001D07C9">
      <w:pPr>
        <w:pStyle w:val="a9"/>
        <w:rPr>
          <w:lang w:val="en-US"/>
        </w:rPr>
      </w:pPr>
      <w:r w:rsidRPr="001D07C9">
        <w:rPr>
          <w:lang w:val="en-US"/>
        </w:rPr>
        <w:t xml:space="preserve">Clinical Comparison of Broad-band and Narrow-band Intense Pulsed Light in the Treatment of </w:t>
      </w:r>
      <w:proofErr w:type="spellStart"/>
      <w:r w:rsidRPr="001D07C9">
        <w:rPr>
          <w:lang w:val="en-US"/>
        </w:rPr>
        <w:t>Erythematous</w:t>
      </w:r>
      <w:proofErr w:type="spellEnd"/>
      <w:r w:rsidRPr="001D07C9">
        <w:rPr>
          <w:lang w:val="en-US"/>
        </w:rPr>
        <w:t xml:space="preserve"> </w:t>
      </w:r>
      <w:proofErr w:type="spellStart"/>
      <w:r w:rsidRPr="001D07C9">
        <w:rPr>
          <w:lang w:val="en-US"/>
        </w:rPr>
        <w:t>Telangiectatic</w:t>
      </w:r>
      <w:proofErr w:type="spellEnd"/>
      <w:r w:rsidRPr="001D07C9">
        <w:rPr>
          <w:lang w:val="en-US"/>
        </w:rPr>
        <w:t xml:space="preserve"> </w:t>
      </w:r>
      <w:proofErr w:type="spellStart"/>
      <w:r w:rsidRPr="001D07C9">
        <w:rPr>
          <w:lang w:val="en-US"/>
        </w:rPr>
        <w:t>Rosacea</w:t>
      </w:r>
      <w:proofErr w:type="spellEnd"/>
    </w:p>
    <w:p w:rsidR="001D07C9" w:rsidRPr="001D07C9" w:rsidRDefault="001D07C9" w:rsidP="001D07C9">
      <w:pPr>
        <w:pStyle w:val="aa"/>
        <w:rPr>
          <w:lang w:val="en-US"/>
        </w:rPr>
      </w:pPr>
      <w:r w:rsidRPr="001D07C9">
        <w:rPr>
          <w:lang w:val="en-US"/>
        </w:rPr>
        <w:t xml:space="preserve">DUAN </w:t>
      </w:r>
      <w:proofErr w:type="spellStart"/>
      <w:r w:rsidRPr="001D07C9">
        <w:rPr>
          <w:lang w:val="en-US"/>
        </w:rPr>
        <w:t>Xue-yun,ZHOU</w:t>
      </w:r>
      <w:proofErr w:type="spellEnd"/>
      <w:r w:rsidRPr="001D07C9">
        <w:rPr>
          <w:lang w:val="en-US"/>
        </w:rPr>
        <w:t xml:space="preserve"> </w:t>
      </w:r>
      <w:proofErr w:type="spellStart"/>
      <w:r w:rsidRPr="001D07C9">
        <w:rPr>
          <w:lang w:val="en-US"/>
        </w:rPr>
        <w:t>Zhou,LIU</w:t>
      </w:r>
      <w:proofErr w:type="spellEnd"/>
      <w:r w:rsidRPr="001D07C9">
        <w:rPr>
          <w:lang w:val="en-US"/>
        </w:rPr>
        <w:t xml:space="preserve"> Tai-</w:t>
      </w:r>
      <w:proofErr w:type="spellStart"/>
      <w:r w:rsidRPr="001D07C9">
        <w:rPr>
          <w:lang w:val="en-US"/>
        </w:rPr>
        <w:t>hua,ZHAN</w:t>
      </w:r>
      <w:proofErr w:type="spellEnd"/>
      <w:r w:rsidRPr="001D07C9">
        <w:rPr>
          <w:lang w:val="en-US"/>
        </w:rPr>
        <w:t xml:space="preserve"> Dan-</w:t>
      </w:r>
      <w:proofErr w:type="spellStart"/>
      <w:r w:rsidRPr="001D07C9">
        <w:rPr>
          <w:lang w:val="en-US"/>
        </w:rPr>
        <w:t>dan,ZHANG</w:t>
      </w:r>
      <w:proofErr w:type="spellEnd"/>
      <w:r w:rsidRPr="001D07C9">
        <w:rPr>
          <w:lang w:val="en-US"/>
        </w:rPr>
        <w:t xml:space="preserve"> </w:t>
      </w:r>
      <w:proofErr w:type="spellStart"/>
      <w:r w:rsidRPr="001D07C9">
        <w:rPr>
          <w:lang w:val="en-US"/>
        </w:rPr>
        <w:t>Zhong-kui</w:t>
      </w:r>
      <w:proofErr w:type="spellEnd"/>
    </w:p>
    <w:p w:rsidR="001D07C9" w:rsidRPr="001D07C9" w:rsidRDefault="001D07C9" w:rsidP="001D07C9">
      <w:pPr>
        <w:pStyle w:val="ab"/>
        <w:rPr>
          <w:lang w:val="en-US"/>
        </w:rPr>
      </w:pPr>
      <w:r w:rsidRPr="001D07C9">
        <w:rPr>
          <w:lang w:val="en-US"/>
        </w:rPr>
        <w:t xml:space="preserve">(Department of </w:t>
      </w:r>
      <w:proofErr w:type="spellStart"/>
      <w:r w:rsidRPr="001D07C9">
        <w:rPr>
          <w:lang w:val="en-US"/>
        </w:rPr>
        <w:t>Dermatology,West</w:t>
      </w:r>
      <w:proofErr w:type="spellEnd"/>
      <w:r w:rsidRPr="001D07C9">
        <w:rPr>
          <w:lang w:val="en-US"/>
        </w:rPr>
        <w:t xml:space="preserve"> Theater General </w:t>
      </w:r>
      <w:proofErr w:type="spellStart"/>
      <w:r w:rsidRPr="001D07C9">
        <w:rPr>
          <w:lang w:val="en-US"/>
        </w:rPr>
        <w:t>Hospital,Chengdu</w:t>
      </w:r>
      <w:proofErr w:type="spellEnd"/>
      <w:r w:rsidRPr="001D07C9">
        <w:rPr>
          <w:lang w:val="en-US"/>
        </w:rPr>
        <w:t xml:space="preserve"> 610083,Sichuan,China)</w:t>
      </w:r>
    </w:p>
    <w:p w:rsidR="001D07C9" w:rsidRPr="001D07C9" w:rsidRDefault="001D07C9" w:rsidP="001D07C9">
      <w:pPr>
        <w:pStyle w:val="ac"/>
        <w:rPr>
          <w:lang w:val="en-US"/>
        </w:rPr>
      </w:pPr>
    </w:p>
    <w:p w:rsidR="001D07C9" w:rsidRPr="001D07C9" w:rsidRDefault="001D07C9" w:rsidP="001D07C9">
      <w:pPr>
        <w:pStyle w:val="ac"/>
        <w:rPr>
          <w:lang w:val="en-US"/>
        </w:rPr>
      </w:pPr>
      <w:r w:rsidRPr="001D07C9">
        <w:rPr>
          <w:rStyle w:val="95"/>
          <w:lang w:val="en-US"/>
        </w:rPr>
        <w:t>Abstract: Objective</w:t>
      </w:r>
      <w:r w:rsidRPr="001D07C9">
        <w:rPr>
          <w:lang w:val="en-US"/>
        </w:rPr>
        <w:t xml:space="preserve">  To compare the efficacy and safety of broad-band and narrow-band intense pulsed light(IPL) in the treatment of </w:t>
      </w:r>
      <w:proofErr w:type="spellStart"/>
      <w:r w:rsidRPr="001D07C9">
        <w:rPr>
          <w:lang w:val="en-US"/>
        </w:rPr>
        <w:t>erythematous</w:t>
      </w:r>
      <w:proofErr w:type="spellEnd"/>
      <w:r w:rsidRPr="001D07C9">
        <w:rPr>
          <w:lang w:val="en-US"/>
        </w:rPr>
        <w:t xml:space="preserve"> </w:t>
      </w:r>
      <w:proofErr w:type="spellStart"/>
      <w:r w:rsidRPr="001D07C9">
        <w:rPr>
          <w:lang w:val="en-US"/>
        </w:rPr>
        <w:t>telangiectatic</w:t>
      </w:r>
      <w:proofErr w:type="spellEnd"/>
      <w:r w:rsidRPr="001D07C9">
        <w:rPr>
          <w:lang w:val="en-US"/>
        </w:rPr>
        <w:t xml:space="preserve"> </w:t>
      </w:r>
      <w:proofErr w:type="spellStart"/>
      <w:r w:rsidRPr="001D07C9">
        <w:rPr>
          <w:lang w:val="en-US"/>
        </w:rPr>
        <w:t>rosacea</w:t>
      </w:r>
      <w:proofErr w:type="spellEnd"/>
      <w:r w:rsidRPr="001D07C9">
        <w:rPr>
          <w:lang w:val="en-US"/>
        </w:rPr>
        <w:t xml:space="preserve">(ETR). </w:t>
      </w:r>
      <w:r w:rsidRPr="001D07C9">
        <w:rPr>
          <w:rStyle w:val="95"/>
          <w:lang w:val="en-US"/>
        </w:rPr>
        <w:t>Methods</w:t>
      </w:r>
      <w:r w:rsidRPr="001D07C9">
        <w:rPr>
          <w:lang w:val="en-US"/>
        </w:rPr>
        <w:t xml:space="preserve">  A total of 100 ETR patients were </w:t>
      </w:r>
      <w:proofErr w:type="spellStart"/>
      <w:r w:rsidRPr="001D07C9">
        <w:rPr>
          <w:lang w:val="en-US"/>
        </w:rPr>
        <w:t>etrospectively</w:t>
      </w:r>
      <w:proofErr w:type="spellEnd"/>
      <w:r w:rsidRPr="001D07C9">
        <w:rPr>
          <w:lang w:val="en-US"/>
        </w:rPr>
        <w:t xml:space="preserve"> included in our hospital from January to December 2020. Those patients were treated with broad-band optimized pulse technique(OPT) and narrow-band delicate pulse light(DPL), respectively, and 50 cases in each group. The patients were followed up for 6 months after treatment began, the clinical </w:t>
      </w:r>
      <w:proofErr w:type="spellStart"/>
      <w:r w:rsidRPr="001D07C9">
        <w:rPr>
          <w:lang w:val="en-US"/>
        </w:rPr>
        <w:t>erythema</w:t>
      </w:r>
      <w:proofErr w:type="spellEnd"/>
      <w:r w:rsidRPr="001D07C9">
        <w:rPr>
          <w:lang w:val="en-US"/>
        </w:rPr>
        <w:t xml:space="preserve"> assessment(CEA) and physician's global assessment(PGA) was used to evaluate the improvement of </w:t>
      </w:r>
      <w:proofErr w:type="spellStart"/>
      <w:r w:rsidRPr="001D07C9">
        <w:rPr>
          <w:lang w:val="en-US"/>
        </w:rPr>
        <w:t>erythema</w:t>
      </w:r>
      <w:proofErr w:type="spellEnd"/>
      <w:r w:rsidRPr="001D07C9">
        <w:rPr>
          <w:lang w:val="en-US"/>
        </w:rPr>
        <w:t xml:space="preserve"> and </w:t>
      </w:r>
      <w:proofErr w:type="spellStart"/>
      <w:r w:rsidRPr="001D07C9">
        <w:rPr>
          <w:lang w:val="en-US"/>
        </w:rPr>
        <w:t>telangiectasia</w:t>
      </w:r>
      <w:proofErr w:type="spellEnd"/>
      <w:r w:rsidRPr="001D07C9">
        <w:rPr>
          <w:lang w:val="en-US"/>
        </w:rPr>
        <w:t xml:space="preserve">. The CEA scores and PGA scores of patients in different groups and with different treatment times were compared by generalized linear mixed model. The occurrence of adverse reactions was recorded. </w:t>
      </w:r>
      <w:r w:rsidRPr="001D07C9">
        <w:rPr>
          <w:rStyle w:val="95"/>
          <w:lang w:val="en-US"/>
        </w:rPr>
        <w:t xml:space="preserve">Results  </w:t>
      </w:r>
      <w:r w:rsidRPr="001D07C9">
        <w:rPr>
          <w:lang w:val="en-US"/>
        </w:rPr>
        <w:t>All patients were received complete follow-up. The treatment times in OPT group and DPL group were (3.48±0.76) times and (2.98</w:t>
      </w:r>
      <w:r w:rsidRPr="001D07C9">
        <w:rPr>
          <w:spacing w:val="4"/>
          <w:lang w:val="en-US"/>
        </w:rPr>
        <w:t>±0.45) times, respectively, and the difference was not statistically significant(P</w:t>
      </w:r>
      <w:r w:rsidRPr="001D07C9">
        <w:rPr>
          <w:rFonts w:ascii="宋体" w:eastAsia="宋体" w:cs="宋体" w:hint="eastAsia"/>
          <w:spacing w:val="4"/>
          <w:lang w:val="en-US"/>
        </w:rPr>
        <w:t>＞</w:t>
      </w:r>
      <w:r w:rsidRPr="001D07C9">
        <w:rPr>
          <w:spacing w:val="4"/>
          <w:lang w:val="en-US"/>
        </w:rPr>
        <w:t xml:space="preserve">0.05). The energy density[(9.340±2.11)J/cm2 </w:t>
      </w:r>
      <w:proofErr w:type="spellStart"/>
      <w:r w:rsidRPr="001D07C9">
        <w:rPr>
          <w:spacing w:val="4"/>
          <w:lang w:val="en-US"/>
        </w:rPr>
        <w:t>vs</w:t>
      </w:r>
      <w:proofErr w:type="spellEnd"/>
      <w:r w:rsidRPr="001D07C9">
        <w:rPr>
          <w:spacing w:val="4"/>
          <w:lang w:val="en-US"/>
        </w:rPr>
        <w:t xml:space="preserve"> (16.33±4.78)J/cm</w:t>
      </w:r>
      <w:r w:rsidRPr="001D07C9">
        <w:rPr>
          <w:spacing w:val="4"/>
          <w:vertAlign w:val="superscript"/>
          <w:lang w:val="en-US"/>
        </w:rPr>
        <w:t>2</w:t>
      </w:r>
      <w:r w:rsidRPr="001D07C9">
        <w:rPr>
          <w:spacing w:val="4"/>
          <w:lang w:val="en-US"/>
        </w:rPr>
        <w:t>] in DPL group was significantly lower than that in OPT group(P</w:t>
      </w:r>
      <w:r w:rsidRPr="001D07C9">
        <w:rPr>
          <w:rFonts w:ascii="宋体" w:eastAsia="宋体" w:cs="宋体" w:hint="eastAsia"/>
          <w:spacing w:val="4"/>
          <w:lang w:val="en-US"/>
        </w:rPr>
        <w:t>＜</w:t>
      </w:r>
      <w:r w:rsidRPr="001D07C9">
        <w:rPr>
          <w:spacing w:val="4"/>
          <w:lang w:val="en-US"/>
        </w:rPr>
        <w:t>0.05). There was no interaction effect</w:t>
      </w:r>
      <w:r w:rsidRPr="001D07C9">
        <w:rPr>
          <w:lang w:val="en-US"/>
        </w:rPr>
        <w:t xml:space="preserve"> on CEA scores and PGA scores among patients in different groups and with different treatment times(</w:t>
      </w:r>
      <w:proofErr w:type="spellStart"/>
      <w:r w:rsidRPr="001D07C9">
        <w:rPr>
          <w:lang w:val="en-US"/>
        </w:rPr>
        <w:t>F</w:t>
      </w:r>
      <w:r w:rsidRPr="001D07C9">
        <w:rPr>
          <w:vertAlign w:val="subscript"/>
          <w:lang w:val="en-US"/>
        </w:rPr>
        <w:t>interaction</w:t>
      </w:r>
      <w:proofErr w:type="spellEnd"/>
      <w:r w:rsidRPr="001D07C9">
        <w:rPr>
          <w:lang w:val="en-US"/>
        </w:rPr>
        <w:t>=0.553,1.024,P</w:t>
      </w:r>
      <w:r w:rsidRPr="001D07C9">
        <w:rPr>
          <w:vertAlign w:val="subscript"/>
          <w:lang w:val="en-US"/>
        </w:rPr>
        <w:t>interactio</w:t>
      </w:r>
      <w:r w:rsidRPr="001D07C9">
        <w:rPr>
          <w:lang w:val="en-US"/>
        </w:rPr>
        <w:t>n=0.628,0.216).There was no statistically significant differences on CEA scores and PGA scores among patients in different groups(</w:t>
      </w:r>
      <w:proofErr w:type="spellStart"/>
      <w:r w:rsidRPr="001D07C9">
        <w:rPr>
          <w:lang w:val="en-US"/>
        </w:rPr>
        <w:t>F</w:t>
      </w:r>
      <w:r w:rsidRPr="001D07C9">
        <w:rPr>
          <w:vertAlign w:val="subscript"/>
          <w:lang w:val="en-US"/>
        </w:rPr>
        <w:t>inter</w:t>
      </w:r>
      <w:proofErr w:type="spellEnd"/>
      <w:r w:rsidRPr="001D07C9">
        <w:rPr>
          <w:vertAlign w:val="subscript"/>
          <w:lang w:val="en-US"/>
        </w:rPr>
        <w:t>-group</w:t>
      </w:r>
      <w:r w:rsidRPr="001D07C9">
        <w:rPr>
          <w:lang w:val="en-US"/>
        </w:rPr>
        <w:t>=0.827,2.735,P</w:t>
      </w:r>
      <w:r w:rsidRPr="001D07C9">
        <w:rPr>
          <w:vertAlign w:val="subscript"/>
          <w:lang w:val="en-US"/>
        </w:rPr>
        <w:t>inter-group</w:t>
      </w:r>
      <w:r w:rsidRPr="001D07C9">
        <w:rPr>
          <w:lang w:val="en-US"/>
        </w:rPr>
        <w:t>=0.352,0.082).There were statistically significant differences on CEA scores and PGA scores among patients with different treatment times(</w:t>
      </w:r>
      <w:proofErr w:type="spellStart"/>
      <w:r w:rsidRPr="001D07C9">
        <w:rPr>
          <w:lang w:val="en-US"/>
        </w:rPr>
        <w:t>F</w:t>
      </w:r>
      <w:r w:rsidRPr="001D07C9">
        <w:rPr>
          <w:vertAlign w:val="subscript"/>
          <w:lang w:val="en-US"/>
        </w:rPr>
        <w:t>times</w:t>
      </w:r>
      <w:proofErr w:type="spellEnd"/>
      <w:r w:rsidRPr="001D07C9">
        <w:rPr>
          <w:lang w:val="en-US"/>
        </w:rPr>
        <w:t xml:space="preserve">=17.875, 18.527, </w:t>
      </w:r>
      <w:proofErr w:type="spellStart"/>
      <w:r w:rsidRPr="001D07C9">
        <w:rPr>
          <w:lang w:val="en-US"/>
        </w:rPr>
        <w:t>P</w:t>
      </w:r>
      <w:r w:rsidRPr="001D07C9">
        <w:rPr>
          <w:vertAlign w:val="subscript"/>
          <w:lang w:val="en-US"/>
        </w:rPr>
        <w:t>times</w:t>
      </w:r>
      <w:proofErr w:type="spellEnd"/>
      <w:r w:rsidRPr="001D07C9">
        <w:rPr>
          <w:lang w:val="en-US"/>
        </w:rPr>
        <w:t xml:space="preserve">=0.000, 0.000). With the increase of treatment times, the severity of </w:t>
      </w:r>
      <w:proofErr w:type="spellStart"/>
      <w:r w:rsidRPr="001D07C9">
        <w:rPr>
          <w:lang w:val="en-US"/>
        </w:rPr>
        <w:t>erythema</w:t>
      </w:r>
      <w:proofErr w:type="spellEnd"/>
      <w:r w:rsidRPr="001D07C9">
        <w:rPr>
          <w:lang w:val="en-US"/>
        </w:rPr>
        <w:t xml:space="preserve"> was decreased significantly, and the Clearance rate of </w:t>
      </w:r>
      <w:proofErr w:type="spellStart"/>
      <w:r w:rsidRPr="001D07C9">
        <w:rPr>
          <w:lang w:val="en-US"/>
        </w:rPr>
        <w:t>telangiectasia</w:t>
      </w:r>
      <w:proofErr w:type="spellEnd"/>
      <w:r w:rsidRPr="001D07C9">
        <w:rPr>
          <w:lang w:val="en-US"/>
        </w:rPr>
        <w:t xml:space="preserve"> was increased significantly in two groups(P</w:t>
      </w:r>
      <w:r w:rsidRPr="001D07C9">
        <w:rPr>
          <w:rFonts w:ascii="宋体" w:eastAsia="宋体" w:cs="宋体" w:hint="eastAsia"/>
          <w:lang w:val="en-US"/>
        </w:rPr>
        <w:t>＜</w:t>
      </w:r>
      <w:r w:rsidRPr="001D07C9">
        <w:rPr>
          <w:lang w:val="en-US"/>
        </w:rPr>
        <w:t xml:space="preserve">0.05). The occurrence of adverse reactions[6.00% </w:t>
      </w:r>
      <w:proofErr w:type="spellStart"/>
      <w:r w:rsidRPr="001D07C9">
        <w:rPr>
          <w:lang w:val="en-US"/>
        </w:rPr>
        <w:t>vs</w:t>
      </w:r>
      <w:proofErr w:type="spellEnd"/>
      <w:r w:rsidRPr="001D07C9">
        <w:rPr>
          <w:lang w:val="en-US"/>
        </w:rPr>
        <w:t xml:space="preserve"> 20.00%] in DPL group was significantly lower than that in OPT group(P</w:t>
      </w:r>
      <w:r w:rsidRPr="001D07C9">
        <w:rPr>
          <w:rFonts w:ascii="宋体" w:eastAsia="宋体" w:cs="宋体" w:hint="eastAsia"/>
          <w:lang w:val="en-US"/>
        </w:rPr>
        <w:t>＜</w:t>
      </w:r>
      <w:r w:rsidRPr="001D07C9">
        <w:rPr>
          <w:lang w:val="en-US"/>
        </w:rPr>
        <w:t xml:space="preserve">0.05). </w:t>
      </w:r>
      <w:r w:rsidRPr="001D07C9">
        <w:rPr>
          <w:rStyle w:val="95"/>
          <w:lang w:val="en-US"/>
        </w:rPr>
        <w:t xml:space="preserve">Conclusion </w:t>
      </w:r>
      <w:r w:rsidRPr="001D07C9">
        <w:rPr>
          <w:lang w:val="en-US"/>
        </w:rPr>
        <w:t xml:space="preserve"> The efficacy was similar between broad-band OPT and narrow-band DPL in the treatment of ETR, but DPL was more safety and had lower energy density.</w:t>
      </w:r>
    </w:p>
    <w:p w:rsidR="001D07C9" w:rsidRPr="001D07C9" w:rsidRDefault="001D07C9" w:rsidP="001D07C9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 w:rsidRPr="001D07C9">
        <w:rPr>
          <w:rFonts w:ascii="Didot HTF-B06-" w:hAnsi="Didot HTF-B06-" w:cs="Didot HTF-B06-"/>
          <w:b/>
          <w:bCs/>
          <w:color w:val="000000"/>
          <w:kern w:val="0"/>
          <w:sz w:val="19"/>
        </w:rPr>
        <w:t xml:space="preserve">Key words: </w:t>
      </w:r>
      <w:r w:rsidRPr="001D07C9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intense pulsed light; optimal pulse technology; delicate pulse light; rose acne; </w:t>
      </w:r>
      <w:proofErr w:type="spellStart"/>
      <w:r w:rsidRPr="001D07C9">
        <w:rPr>
          <w:rFonts w:ascii="Times New Roman" w:hAnsi="Times New Roman" w:cs="Times New Roman"/>
          <w:color w:val="000000"/>
          <w:kern w:val="0"/>
          <w:sz w:val="19"/>
          <w:szCs w:val="19"/>
        </w:rPr>
        <w:t>erythema</w:t>
      </w:r>
      <w:proofErr w:type="spellEnd"/>
      <w:r w:rsidRPr="001D07C9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; </w:t>
      </w:r>
      <w:proofErr w:type="spellStart"/>
      <w:r w:rsidRPr="001D07C9">
        <w:rPr>
          <w:rFonts w:ascii="Times New Roman" w:hAnsi="Times New Roman" w:cs="Times New Roman"/>
          <w:color w:val="000000"/>
          <w:kern w:val="0"/>
          <w:sz w:val="19"/>
          <w:szCs w:val="19"/>
        </w:rPr>
        <w:t>telangiectasia</w:t>
      </w:r>
      <w:proofErr w:type="spellEnd"/>
    </w:p>
    <w:p w:rsidR="007E4364" w:rsidRPr="001D07C9" w:rsidRDefault="007E4364" w:rsidP="001D07C9"/>
    <w:sectPr w:rsidR="007E4364" w:rsidRPr="001D07C9" w:rsidSect="007C5AB2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162" w:rsidRDefault="00A52162" w:rsidP="00E172F8">
      <w:r>
        <w:separator/>
      </w:r>
    </w:p>
  </w:endnote>
  <w:endnote w:type="continuationSeparator" w:id="0">
    <w:p w:rsidR="00A52162" w:rsidRDefault="00A52162" w:rsidP="00E17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162" w:rsidRDefault="00A52162" w:rsidP="00E172F8">
      <w:r>
        <w:separator/>
      </w:r>
    </w:p>
  </w:footnote>
  <w:footnote w:type="continuationSeparator" w:id="0">
    <w:p w:rsidR="00A52162" w:rsidRDefault="00A52162" w:rsidP="00E172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72F8"/>
    <w:rsid w:val="0009744A"/>
    <w:rsid w:val="001D07C9"/>
    <w:rsid w:val="00277B52"/>
    <w:rsid w:val="003A6FBB"/>
    <w:rsid w:val="0041270F"/>
    <w:rsid w:val="004A7BC1"/>
    <w:rsid w:val="005147FF"/>
    <w:rsid w:val="005F513F"/>
    <w:rsid w:val="007E4364"/>
    <w:rsid w:val="008749F3"/>
    <w:rsid w:val="009A4D93"/>
    <w:rsid w:val="009F7A00"/>
    <w:rsid w:val="00A52162"/>
    <w:rsid w:val="00AA043F"/>
    <w:rsid w:val="00AA37C6"/>
    <w:rsid w:val="00AE0425"/>
    <w:rsid w:val="00B12716"/>
    <w:rsid w:val="00CA3EA1"/>
    <w:rsid w:val="00D52EFA"/>
    <w:rsid w:val="00D777F9"/>
    <w:rsid w:val="00DC05D5"/>
    <w:rsid w:val="00DD5A8C"/>
    <w:rsid w:val="00E172F8"/>
    <w:rsid w:val="00EB4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7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72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72F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72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72F8"/>
    <w:rPr>
      <w:sz w:val="18"/>
      <w:szCs w:val="18"/>
    </w:rPr>
  </w:style>
  <w:style w:type="paragraph" w:customStyle="1" w:styleId="a5">
    <w:name w:val="中文大标题"/>
    <w:basedOn w:val="a"/>
    <w:uiPriority w:val="99"/>
    <w:rsid w:val="00E172F8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7F00FF"/>
      <w:kern w:val="0"/>
      <w:sz w:val="30"/>
      <w:szCs w:val="30"/>
      <w:lang w:val="zh-CN"/>
    </w:rPr>
  </w:style>
  <w:style w:type="paragraph" w:customStyle="1" w:styleId="a6">
    <w:name w:val="作者名中文"/>
    <w:basedOn w:val="a"/>
    <w:uiPriority w:val="99"/>
    <w:rsid w:val="00E172F8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7">
    <w:name w:val="中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customStyle="1" w:styleId="a8">
    <w:name w:val="中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9">
    <w:name w:val="英文大标题"/>
    <w:basedOn w:val="a"/>
    <w:uiPriority w:val="99"/>
    <w:rsid w:val="00E172F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7F00FF"/>
      <w:kern w:val="0"/>
      <w:sz w:val="24"/>
      <w:szCs w:val="24"/>
      <w:lang w:val="zh-CN"/>
    </w:rPr>
  </w:style>
  <w:style w:type="paragraph" w:customStyle="1" w:styleId="aa">
    <w:name w:val="英文作者名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b">
    <w:name w:val="英文括号地址"/>
    <w:basedOn w:val="a"/>
    <w:uiPriority w:val="99"/>
    <w:rsid w:val="00E172F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c">
    <w:name w:val="英文摘要"/>
    <w:basedOn w:val="a"/>
    <w:uiPriority w:val="99"/>
    <w:rsid w:val="00E172F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E172F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E172F8"/>
    <w:rPr>
      <w:rFonts w:ascii="Didot HTF-B06-" w:hAnsi="Didot HTF-B06-" w:cs="Didot HTF-B06-"/>
      <w:b/>
      <w:bCs/>
      <w:sz w:val="19"/>
      <w:szCs w:val="19"/>
    </w:rPr>
  </w:style>
  <w:style w:type="paragraph" w:customStyle="1" w:styleId="ad">
    <w:name w:val="中文正文"/>
    <w:basedOn w:val="a"/>
    <w:uiPriority w:val="99"/>
    <w:rsid w:val="00277B52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527</Words>
  <Characters>3004</Characters>
  <Application>Microsoft Office Word</Application>
  <DocSecurity>0</DocSecurity>
  <Lines>25</Lines>
  <Paragraphs>7</Paragraphs>
  <ScaleCrop>false</ScaleCrop>
  <Company>Microsoft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2022-01-17T03:25:00Z</dcterms:created>
  <dcterms:modified xsi:type="dcterms:W3CDTF">2022-01-18T07:42:00Z</dcterms:modified>
</cp:coreProperties>
</file>