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821" w:rsidRPr="00E06821" w:rsidRDefault="00E06821" w:rsidP="00E06821">
      <w:pPr>
        <w:autoSpaceDE w:val="0"/>
        <w:autoSpaceDN w:val="0"/>
        <w:adjustRightInd w:val="0"/>
        <w:spacing w:line="300" w:lineRule="atLeast"/>
        <w:jc w:val="center"/>
        <w:textAlignment w:val="center"/>
        <w:rPr>
          <w:rFonts w:ascii="方正小标宋_GBK" w:eastAsia="方正小标宋_GBK" w:cs="方正小标宋_GBK"/>
          <w:color w:val="920883"/>
          <w:kern w:val="0"/>
          <w:sz w:val="30"/>
          <w:szCs w:val="30"/>
          <w:lang w:val="zh-CN"/>
        </w:rPr>
      </w:pPr>
      <w:r w:rsidRPr="00E06821">
        <w:rPr>
          <w:rFonts w:ascii="方正小标宋_GBK" w:eastAsia="方正小标宋_GBK" w:cs="方正小标宋_GBK" w:hint="eastAsia"/>
          <w:color w:val="920883"/>
          <w:kern w:val="0"/>
          <w:sz w:val="30"/>
          <w:szCs w:val="30"/>
          <w:lang w:val="zh-CN"/>
        </w:rPr>
        <w:t>上调</w:t>
      </w:r>
      <w:r w:rsidRPr="00E06821">
        <w:rPr>
          <w:rFonts w:ascii="方正小标宋_GBK" w:eastAsia="方正小标宋_GBK" w:cs="方正小标宋_GBK"/>
          <w:color w:val="920883"/>
          <w:kern w:val="0"/>
          <w:sz w:val="30"/>
          <w:szCs w:val="30"/>
          <w:lang w:val="zh-CN"/>
        </w:rPr>
        <w:t>NICD</w:t>
      </w:r>
      <w:r w:rsidRPr="00E06821">
        <w:rPr>
          <w:rFonts w:ascii="方正小标宋_GBK" w:eastAsia="方正小标宋_GBK" w:cs="方正小标宋_GBK" w:hint="eastAsia"/>
          <w:color w:val="920883"/>
          <w:kern w:val="0"/>
          <w:sz w:val="30"/>
          <w:szCs w:val="30"/>
          <w:lang w:val="zh-CN"/>
        </w:rPr>
        <w:t>对人牙周膜干细胞增殖及迁移能力的影响</w:t>
      </w:r>
    </w:p>
    <w:p w:rsidR="00E06821" w:rsidRPr="00E06821" w:rsidRDefault="00E06821" w:rsidP="00E06821">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E06821">
        <w:rPr>
          <w:rFonts w:ascii="方正楷体_GBK" w:eastAsia="方正楷体_GBK" w:cs="方正楷体_GBK" w:hint="eastAsia"/>
          <w:color w:val="000000"/>
          <w:kern w:val="0"/>
          <w:sz w:val="24"/>
          <w:szCs w:val="24"/>
          <w:lang w:val="zh-CN"/>
        </w:rPr>
        <w:t>张大灵</w:t>
      </w:r>
      <w:r w:rsidRPr="00E06821">
        <w:rPr>
          <w:rFonts w:ascii="方正楷体_GBK" w:eastAsia="方正楷体_GBK" w:cs="方正楷体_GBK"/>
          <w:color w:val="000000"/>
          <w:kern w:val="0"/>
          <w:sz w:val="24"/>
          <w:szCs w:val="24"/>
          <w:vertAlign w:val="superscript"/>
          <w:lang w:val="zh-CN"/>
        </w:rPr>
        <w:t>1</w:t>
      </w:r>
      <w:r w:rsidRPr="00E06821">
        <w:rPr>
          <w:rFonts w:ascii="方正楷体_GBK" w:eastAsia="方正楷体_GBK" w:cs="方正楷体_GBK" w:hint="eastAsia"/>
          <w:color w:val="000000"/>
          <w:kern w:val="0"/>
          <w:sz w:val="24"/>
          <w:szCs w:val="24"/>
          <w:lang w:val="zh-CN"/>
        </w:rPr>
        <w:t>，王源元</w:t>
      </w:r>
      <w:r w:rsidRPr="00E06821">
        <w:rPr>
          <w:rFonts w:ascii="方正楷体_GBK" w:eastAsia="方正楷体_GBK" w:cs="方正楷体_GBK"/>
          <w:color w:val="000000"/>
          <w:kern w:val="0"/>
          <w:sz w:val="24"/>
          <w:szCs w:val="24"/>
          <w:vertAlign w:val="superscript"/>
          <w:lang w:val="zh-CN"/>
        </w:rPr>
        <w:t>1</w:t>
      </w:r>
      <w:r w:rsidRPr="00E06821">
        <w:rPr>
          <w:rFonts w:ascii="方正楷体_GBK" w:eastAsia="方正楷体_GBK" w:cs="方正楷体_GBK" w:hint="eastAsia"/>
          <w:color w:val="000000"/>
          <w:kern w:val="0"/>
          <w:sz w:val="24"/>
          <w:szCs w:val="24"/>
          <w:lang w:val="zh-CN"/>
        </w:rPr>
        <w:t>，刘</w:t>
      </w:r>
      <w:r w:rsidRPr="00E06821">
        <w:rPr>
          <w:rFonts w:ascii="方正楷体_GBK" w:eastAsia="方正楷体_GBK" w:cs="方正楷体_GBK"/>
          <w:color w:val="000000"/>
          <w:kern w:val="0"/>
          <w:sz w:val="24"/>
          <w:szCs w:val="24"/>
          <w:lang w:val="zh-CN"/>
        </w:rPr>
        <w:t xml:space="preserve"> </w:t>
      </w:r>
      <w:r w:rsidRPr="00E06821">
        <w:rPr>
          <w:rFonts w:ascii="方正楷体_GBK" w:eastAsia="方正楷体_GBK" w:cs="方正楷体_GBK" w:hint="eastAsia"/>
          <w:color w:val="000000"/>
          <w:kern w:val="0"/>
          <w:sz w:val="24"/>
          <w:szCs w:val="24"/>
          <w:lang w:val="zh-CN"/>
        </w:rPr>
        <w:t>莉</w:t>
      </w:r>
      <w:r w:rsidRPr="00E06821">
        <w:rPr>
          <w:rFonts w:ascii="方正楷体_GBK" w:eastAsia="方正楷体_GBK" w:cs="方正楷体_GBK"/>
          <w:color w:val="000000"/>
          <w:kern w:val="0"/>
          <w:sz w:val="24"/>
          <w:szCs w:val="24"/>
          <w:vertAlign w:val="superscript"/>
          <w:lang w:val="zh-CN"/>
        </w:rPr>
        <w:t>2</w:t>
      </w:r>
      <w:r w:rsidRPr="00E06821">
        <w:rPr>
          <w:rFonts w:ascii="方正楷体_GBK" w:eastAsia="方正楷体_GBK" w:cs="方正楷体_GBK" w:hint="eastAsia"/>
          <w:color w:val="000000"/>
          <w:kern w:val="0"/>
          <w:sz w:val="24"/>
          <w:szCs w:val="24"/>
          <w:lang w:val="zh-CN"/>
        </w:rPr>
        <w:t>，周</w:t>
      </w:r>
      <w:r w:rsidRPr="00E06821">
        <w:rPr>
          <w:rFonts w:ascii="方正楷体_GBK" w:eastAsia="方正楷体_GBK" w:cs="方正楷体_GBK"/>
          <w:color w:val="000000"/>
          <w:kern w:val="0"/>
          <w:sz w:val="24"/>
          <w:szCs w:val="24"/>
          <w:lang w:val="zh-CN"/>
        </w:rPr>
        <w:t xml:space="preserve"> </w:t>
      </w:r>
      <w:r w:rsidRPr="00E06821">
        <w:rPr>
          <w:rFonts w:ascii="方正楷体_GBK" w:eastAsia="方正楷体_GBK" w:cs="方正楷体_GBK" w:hint="eastAsia"/>
          <w:color w:val="000000"/>
          <w:kern w:val="0"/>
          <w:sz w:val="24"/>
          <w:szCs w:val="24"/>
          <w:lang w:val="zh-CN"/>
        </w:rPr>
        <w:t>嫣</w:t>
      </w:r>
      <w:r w:rsidRPr="00E06821">
        <w:rPr>
          <w:rFonts w:ascii="方正楷体_GBK" w:eastAsia="方正楷体_GBK" w:cs="方正楷体_GBK"/>
          <w:color w:val="000000"/>
          <w:kern w:val="0"/>
          <w:sz w:val="24"/>
          <w:szCs w:val="24"/>
          <w:vertAlign w:val="superscript"/>
          <w:lang w:val="zh-CN"/>
        </w:rPr>
        <w:t>1</w:t>
      </w:r>
      <w:r w:rsidRPr="00E06821">
        <w:rPr>
          <w:rFonts w:ascii="方正楷体_GBK" w:eastAsia="方正楷体_GBK" w:cs="方正楷体_GBK" w:hint="eastAsia"/>
          <w:color w:val="000000"/>
          <w:kern w:val="0"/>
          <w:sz w:val="24"/>
          <w:szCs w:val="24"/>
          <w:lang w:val="zh-CN"/>
        </w:rPr>
        <w:t>，李</w:t>
      </w:r>
      <w:r w:rsidRPr="00E06821">
        <w:rPr>
          <w:rFonts w:ascii="方正楷体_GBK" w:eastAsia="方正楷体_GBK" w:cs="方正楷体_GBK"/>
          <w:color w:val="000000"/>
          <w:kern w:val="0"/>
          <w:sz w:val="24"/>
          <w:szCs w:val="24"/>
          <w:lang w:val="zh-CN"/>
        </w:rPr>
        <w:t xml:space="preserve"> </w:t>
      </w:r>
      <w:r w:rsidRPr="00E06821">
        <w:rPr>
          <w:rFonts w:ascii="方正楷体_GBK" w:eastAsia="方正楷体_GBK" w:cs="方正楷体_GBK" w:hint="eastAsia"/>
          <w:color w:val="000000"/>
          <w:kern w:val="0"/>
          <w:sz w:val="24"/>
          <w:szCs w:val="24"/>
          <w:lang w:val="zh-CN"/>
        </w:rPr>
        <w:t>华</w:t>
      </w:r>
      <w:r w:rsidRPr="00E06821">
        <w:rPr>
          <w:rFonts w:ascii="方正楷体_GBK" w:eastAsia="方正楷体_GBK" w:cs="方正楷体_GBK"/>
          <w:color w:val="000000"/>
          <w:kern w:val="0"/>
          <w:sz w:val="24"/>
          <w:szCs w:val="24"/>
          <w:vertAlign w:val="superscript"/>
          <w:lang w:val="zh-CN"/>
        </w:rPr>
        <w:t>3</w:t>
      </w:r>
    </w:p>
    <w:p w:rsidR="00E06821" w:rsidRPr="00E06821" w:rsidRDefault="00E06821" w:rsidP="00E06821">
      <w:pPr>
        <w:autoSpaceDE w:val="0"/>
        <w:autoSpaceDN w:val="0"/>
        <w:adjustRightInd w:val="0"/>
        <w:spacing w:line="300" w:lineRule="atLeast"/>
        <w:jc w:val="center"/>
        <w:textAlignment w:val="center"/>
        <w:rPr>
          <w:rFonts w:ascii="楷体_GB2312" w:eastAsia="楷体_GB2312" w:cs="楷体_GB2312"/>
          <w:color w:val="000000"/>
          <w:kern w:val="0"/>
          <w:sz w:val="18"/>
          <w:szCs w:val="18"/>
          <w:lang w:val="zh-CN"/>
        </w:rPr>
      </w:pPr>
      <w:r w:rsidRPr="00E06821">
        <w:rPr>
          <w:rFonts w:ascii="方正楷体_GBK" w:eastAsia="方正楷体_GBK" w:cs="方正楷体_GBK" w:hint="eastAsia"/>
          <w:color w:val="000000"/>
          <w:kern w:val="0"/>
          <w:sz w:val="18"/>
          <w:szCs w:val="18"/>
          <w:lang w:val="zh-CN"/>
        </w:rPr>
        <w:t>（</w:t>
      </w:r>
      <w:r w:rsidRPr="00E06821">
        <w:rPr>
          <w:rFonts w:ascii="方正楷体_GBK" w:eastAsia="方正楷体_GBK" w:cs="方正楷体_GBK"/>
          <w:color w:val="000000"/>
          <w:kern w:val="0"/>
          <w:sz w:val="18"/>
          <w:szCs w:val="18"/>
          <w:lang w:val="zh-CN"/>
        </w:rPr>
        <w:t>1.</w:t>
      </w:r>
      <w:r w:rsidRPr="00E06821">
        <w:rPr>
          <w:rFonts w:ascii="方正楷体_GBK" w:eastAsia="方正楷体_GBK" w:cs="方正楷体_GBK" w:hint="eastAsia"/>
          <w:color w:val="000000"/>
          <w:kern w:val="0"/>
          <w:sz w:val="18"/>
          <w:szCs w:val="18"/>
          <w:lang w:val="zh-CN"/>
        </w:rPr>
        <w:t>广西壮族自治区人民医院口腔正畸科</w:t>
      </w:r>
      <w:r w:rsidRPr="00E06821">
        <w:rPr>
          <w:rFonts w:ascii="方正楷体_GBK" w:eastAsia="方正楷体_GBK" w:cs="方正楷体_GBK"/>
          <w:color w:val="000000"/>
          <w:kern w:val="0"/>
          <w:sz w:val="18"/>
          <w:szCs w:val="18"/>
          <w:lang w:val="zh-CN"/>
        </w:rPr>
        <w:t xml:space="preserve">  </w:t>
      </w:r>
      <w:r w:rsidRPr="00E06821">
        <w:rPr>
          <w:rFonts w:ascii="方正楷体_GBK" w:eastAsia="方正楷体_GBK" w:cs="方正楷体_GBK" w:hint="eastAsia"/>
          <w:color w:val="000000"/>
          <w:kern w:val="0"/>
          <w:sz w:val="18"/>
          <w:szCs w:val="18"/>
          <w:lang w:val="zh-CN"/>
        </w:rPr>
        <w:t>广西</w:t>
      </w:r>
      <w:r w:rsidRPr="00E06821">
        <w:rPr>
          <w:rFonts w:ascii="方正楷体_GBK" w:eastAsia="方正楷体_GBK" w:cs="方正楷体_GBK"/>
          <w:color w:val="000000"/>
          <w:kern w:val="0"/>
          <w:sz w:val="18"/>
          <w:szCs w:val="18"/>
          <w:lang w:val="zh-CN"/>
        </w:rPr>
        <w:t xml:space="preserve"> </w:t>
      </w:r>
      <w:r w:rsidRPr="00E06821">
        <w:rPr>
          <w:rFonts w:ascii="方正楷体_GBK" w:eastAsia="方正楷体_GBK" w:cs="方正楷体_GBK" w:hint="eastAsia"/>
          <w:color w:val="000000"/>
          <w:kern w:val="0"/>
          <w:sz w:val="18"/>
          <w:szCs w:val="18"/>
          <w:lang w:val="zh-CN"/>
        </w:rPr>
        <w:t>南宁</w:t>
      </w:r>
      <w:r w:rsidRPr="00E06821">
        <w:rPr>
          <w:rFonts w:ascii="方正楷体_GBK" w:eastAsia="方正楷体_GBK" w:cs="方正楷体_GBK"/>
          <w:color w:val="000000"/>
          <w:kern w:val="0"/>
          <w:sz w:val="18"/>
          <w:szCs w:val="18"/>
          <w:lang w:val="zh-CN"/>
        </w:rPr>
        <w:t xml:space="preserve">  530021</w:t>
      </w:r>
      <w:r w:rsidRPr="00E06821">
        <w:rPr>
          <w:rFonts w:ascii="方正楷体_GBK" w:eastAsia="方正楷体_GBK" w:cs="方正楷体_GBK" w:hint="eastAsia"/>
          <w:color w:val="000000"/>
          <w:kern w:val="0"/>
          <w:sz w:val="18"/>
          <w:szCs w:val="18"/>
          <w:lang w:val="zh-CN"/>
        </w:rPr>
        <w:t>；</w:t>
      </w:r>
      <w:r w:rsidRPr="00E06821">
        <w:rPr>
          <w:rFonts w:ascii="方正楷体_GBK" w:eastAsia="方正楷体_GBK" w:cs="方正楷体_GBK"/>
          <w:color w:val="000000"/>
          <w:kern w:val="0"/>
          <w:sz w:val="18"/>
          <w:szCs w:val="18"/>
          <w:lang w:val="zh-CN"/>
        </w:rPr>
        <w:t>2.</w:t>
      </w:r>
      <w:r w:rsidRPr="00E06821">
        <w:rPr>
          <w:rFonts w:ascii="方正楷体_GBK" w:eastAsia="方正楷体_GBK" w:cs="方正楷体_GBK" w:hint="eastAsia"/>
          <w:color w:val="000000"/>
          <w:kern w:val="0"/>
          <w:sz w:val="18"/>
          <w:szCs w:val="18"/>
          <w:lang w:val="zh-CN"/>
        </w:rPr>
        <w:t>桂林医学院附属口腔医院口腔科</w:t>
      </w:r>
      <w:r w:rsidRPr="00E06821">
        <w:rPr>
          <w:rFonts w:ascii="方正楷体_GBK" w:eastAsia="方正楷体_GBK" w:cs="方正楷体_GBK"/>
          <w:color w:val="000000"/>
          <w:kern w:val="0"/>
          <w:sz w:val="18"/>
          <w:szCs w:val="18"/>
          <w:lang w:val="zh-CN"/>
        </w:rPr>
        <w:t xml:space="preserve">  </w:t>
      </w:r>
      <w:r w:rsidRPr="00E06821">
        <w:rPr>
          <w:rFonts w:ascii="方正楷体_GBK" w:eastAsia="方正楷体_GBK" w:cs="方正楷体_GBK" w:hint="eastAsia"/>
          <w:color w:val="000000"/>
          <w:kern w:val="0"/>
          <w:sz w:val="18"/>
          <w:szCs w:val="18"/>
          <w:lang w:val="zh-CN"/>
        </w:rPr>
        <w:t>广西</w:t>
      </w:r>
      <w:r w:rsidRPr="00E06821">
        <w:rPr>
          <w:rFonts w:ascii="方正楷体_GBK" w:eastAsia="方正楷体_GBK" w:cs="方正楷体_GBK"/>
          <w:color w:val="000000"/>
          <w:kern w:val="0"/>
          <w:sz w:val="18"/>
          <w:szCs w:val="18"/>
          <w:lang w:val="zh-CN"/>
        </w:rPr>
        <w:t xml:space="preserve"> </w:t>
      </w:r>
      <w:r w:rsidRPr="00E06821">
        <w:rPr>
          <w:rFonts w:ascii="方正楷体_GBK" w:eastAsia="方正楷体_GBK" w:cs="方正楷体_GBK" w:hint="eastAsia"/>
          <w:color w:val="000000"/>
          <w:kern w:val="0"/>
          <w:sz w:val="18"/>
          <w:szCs w:val="18"/>
          <w:lang w:val="zh-CN"/>
        </w:rPr>
        <w:t>桂林</w:t>
      </w:r>
      <w:r w:rsidRPr="00E06821">
        <w:rPr>
          <w:rFonts w:ascii="方正楷体_GBK" w:eastAsia="方正楷体_GBK" w:cs="方正楷体_GBK"/>
          <w:color w:val="000000"/>
          <w:kern w:val="0"/>
          <w:sz w:val="18"/>
          <w:szCs w:val="18"/>
          <w:lang w:val="zh-CN"/>
        </w:rPr>
        <w:t xml:space="preserve">  541000</w:t>
      </w:r>
      <w:r w:rsidRPr="00E06821">
        <w:rPr>
          <w:rFonts w:ascii="方正楷体_GBK" w:eastAsia="方正楷体_GBK" w:cs="方正楷体_GBK" w:hint="eastAsia"/>
          <w:color w:val="000000"/>
          <w:kern w:val="0"/>
          <w:sz w:val="18"/>
          <w:szCs w:val="18"/>
          <w:lang w:val="zh-CN"/>
        </w:rPr>
        <w:t>；</w:t>
      </w:r>
      <w:r w:rsidRPr="00E06821">
        <w:rPr>
          <w:rFonts w:ascii="方正楷体_GBK" w:eastAsia="方正楷体_GBK" w:cs="方正楷体_GBK"/>
          <w:color w:val="000000"/>
          <w:kern w:val="0"/>
          <w:sz w:val="18"/>
          <w:szCs w:val="18"/>
          <w:lang w:val="zh-CN"/>
        </w:rPr>
        <w:t>3.</w:t>
      </w:r>
      <w:r w:rsidRPr="00E06821">
        <w:rPr>
          <w:rFonts w:ascii="方正楷体_GBK" w:eastAsia="方正楷体_GBK" w:cs="方正楷体_GBK" w:hint="eastAsia"/>
          <w:color w:val="000000"/>
          <w:kern w:val="0"/>
          <w:sz w:val="18"/>
          <w:szCs w:val="18"/>
          <w:lang w:val="zh-CN"/>
        </w:rPr>
        <w:t>广西医科大学附属口腔医院口腔颌面外科</w:t>
      </w:r>
      <w:r w:rsidRPr="00E06821">
        <w:rPr>
          <w:rFonts w:ascii="方正楷体_GBK" w:eastAsia="方正楷体_GBK" w:cs="方正楷体_GBK"/>
          <w:color w:val="000000"/>
          <w:kern w:val="0"/>
          <w:sz w:val="18"/>
          <w:szCs w:val="18"/>
          <w:lang w:val="zh-CN"/>
        </w:rPr>
        <w:t xml:space="preserve">  </w:t>
      </w:r>
      <w:r w:rsidRPr="00E06821">
        <w:rPr>
          <w:rFonts w:ascii="方正楷体_GBK" w:eastAsia="方正楷体_GBK" w:cs="方正楷体_GBK" w:hint="eastAsia"/>
          <w:color w:val="000000"/>
          <w:kern w:val="0"/>
          <w:sz w:val="18"/>
          <w:szCs w:val="18"/>
          <w:lang w:val="zh-CN"/>
        </w:rPr>
        <w:t>广西</w:t>
      </w:r>
      <w:r w:rsidRPr="00E06821">
        <w:rPr>
          <w:rFonts w:ascii="方正楷体_GBK" w:eastAsia="方正楷体_GBK" w:cs="方正楷体_GBK"/>
          <w:color w:val="000000"/>
          <w:kern w:val="0"/>
          <w:sz w:val="18"/>
          <w:szCs w:val="18"/>
          <w:lang w:val="zh-CN"/>
        </w:rPr>
        <w:t xml:space="preserve"> </w:t>
      </w:r>
      <w:r w:rsidRPr="00E06821">
        <w:rPr>
          <w:rFonts w:ascii="方正楷体_GBK" w:eastAsia="方正楷体_GBK" w:cs="方正楷体_GBK" w:hint="eastAsia"/>
          <w:color w:val="000000"/>
          <w:kern w:val="0"/>
          <w:sz w:val="18"/>
          <w:szCs w:val="18"/>
          <w:lang w:val="zh-CN"/>
        </w:rPr>
        <w:t>南宁</w:t>
      </w:r>
      <w:r w:rsidRPr="00E06821">
        <w:rPr>
          <w:rFonts w:ascii="方正楷体_GBK" w:eastAsia="方正楷体_GBK" w:cs="方正楷体_GBK"/>
          <w:color w:val="000000"/>
          <w:kern w:val="0"/>
          <w:sz w:val="18"/>
          <w:szCs w:val="18"/>
          <w:lang w:val="zh-CN"/>
        </w:rPr>
        <w:t xml:space="preserve">  530021</w:t>
      </w:r>
      <w:r w:rsidRPr="00E06821">
        <w:rPr>
          <w:rFonts w:ascii="方正楷体_GBK" w:eastAsia="方正楷体_GBK" w:cs="方正楷体_GBK" w:hint="eastAsia"/>
          <w:color w:val="000000"/>
          <w:kern w:val="0"/>
          <w:sz w:val="18"/>
          <w:szCs w:val="18"/>
          <w:lang w:val="zh-CN"/>
        </w:rPr>
        <w:t>）</w:t>
      </w:r>
    </w:p>
    <w:p w:rsidR="00E06821" w:rsidRPr="00E06821" w:rsidRDefault="00E06821" w:rsidP="00E06821">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E06821">
        <w:rPr>
          <w:rFonts w:ascii="黑体" w:eastAsia="黑体" w:cs="黑体"/>
          <w:color w:val="000000"/>
          <w:kern w:val="0"/>
          <w:sz w:val="18"/>
          <w:lang w:val="zh-CN"/>
        </w:rPr>
        <w:t>[</w:t>
      </w:r>
      <w:r w:rsidRPr="00E06821">
        <w:rPr>
          <w:rFonts w:ascii="黑体" w:eastAsia="黑体" w:cs="黑体" w:hint="eastAsia"/>
          <w:color w:val="000000"/>
          <w:kern w:val="0"/>
          <w:sz w:val="18"/>
          <w:lang w:val="zh-CN"/>
        </w:rPr>
        <w:t>摘要</w:t>
      </w:r>
      <w:r w:rsidRPr="00E06821">
        <w:rPr>
          <w:rFonts w:ascii="黑体" w:eastAsia="黑体" w:cs="黑体"/>
          <w:color w:val="000000"/>
          <w:kern w:val="0"/>
          <w:sz w:val="18"/>
          <w:lang w:val="zh-CN"/>
        </w:rPr>
        <w:t>]</w:t>
      </w:r>
      <w:r w:rsidRPr="00E06821">
        <w:rPr>
          <w:rFonts w:ascii="黑体" w:eastAsia="黑体" w:cs="黑体" w:hint="eastAsia"/>
          <w:color w:val="000000"/>
          <w:kern w:val="0"/>
          <w:sz w:val="18"/>
          <w:lang w:val="zh-CN"/>
        </w:rPr>
        <w:t>目的：</w:t>
      </w:r>
      <w:r w:rsidRPr="00E06821">
        <w:rPr>
          <w:rFonts w:ascii="楷体_GB2312" w:eastAsia="楷体_GB2312" w:cs="楷体_GB2312" w:hint="eastAsia"/>
          <w:color w:val="000000"/>
          <w:kern w:val="0"/>
          <w:sz w:val="18"/>
          <w:szCs w:val="18"/>
          <w:lang w:val="zh-CN"/>
        </w:rPr>
        <w:t>研究上调</w:t>
      </w:r>
      <w:r w:rsidRPr="00E06821">
        <w:rPr>
          <w:rFonts w:ascii="楷体_GB2312" w:eastAsia="楷体_GB2312" w:cs="楷体_GB2312"/>
          <w:color w:val="000000"/>
          <w:kern w:val="0"/>
          <w:sz w:val="18"/>
          <w:szCs w:val="18"/>
          <w:lang w:val="zh-CN"/>
        </w:rPr>
        <w:t>Notch</w:t>
      </w:r>
      <w:r w:rsidRPr="00E06821">
        <w:rPr>
          <w:rFonts w:ascii="楷体_GB2312" w:eastAsia="楷体_GB2312" w:cs="楷体_GB2312" w:hint="eastAsia"/>
          <w:color w:val="000000"/>
          <w:kern w:val="0"/>
          <w:sz w:val="18"/>
          <w:szCs w:val="18"/>
          <w:lang w:val="zh-CN"/>
        </w:rPr>
        <w:t>胞内区域（</w:t>
      </w:r>
      <w:r w:rsidRPr="00E06821">
        <w:rPr>
          <w:rFonts w:ascii="楷体_GB2312" w:eastAsia="楷体_GB2312" w:cs="楷体_GB2312"/>
          <w:color w:val="000000"/>
          <w:kern w:val="0"/>
          <w:sz w:val="18"/>
          <w:szCs w:val="18"/>
          <w:lang w:val="zh-CN"/>
        </w:rPr>
        <w:t>Notch Intracellular Domain</w:t>
      </w:r>
      <w:r w:rsidRPr="00E06821">
        <w:rPr>
          <w:rFonts w:ascii="楷体_GB2312" w:eastAsia="楷体_GB2312" w:cs="楷体_GB2312" w:hint="eastAsia"/>
          <w:color w:val="000000"/>
          <w:kern w:val="0"/>
          <w:sz w:val="18"/>
          <w:szCs w:val="18"/>
          <w:lang w:val="zh-CN"/>
        </w:rPr>
        <w:t>，</w:t>
      </w:r>
      <w:r w:rsidRPr="00E06821">
        <w:rPr>
          <w:rFonts w:ascii="楷体_GB2312" w:eastAsia="楷体_GB2312" w:cs="楷体_GB2312"/>
          <w:color w:val="000000"/>
          <w:kern w:val="0"/>
          <w:sz w:val="18"/>
          <w:szCs w:val="18"/>
          <w:lang w:val="zh-CN"/>
        </w:rPr>
        <w:t>NICD</w:t>
      </w:r>
      <w:r w:rsidRPr="00E06821">
        <w:rPr>
          <w:rFonts w:ascii="楷体_GB2312" w:eastAsia="楷体_GB2312" w:cs="楷体_GB2312" w:hint="eastAsia"/>
          <w:color w:val="000000"/>
          <w:kern w:val="0"/>
          <w:sz w:val="18"/>
          <w:szCs w:val="18"/>
          <w:lang w:val="zh-CN"/>
        </w:rPr>
        <w:t>）对人牙周膜干细胞增殖及迁移能力的影响。</w:t>
      </w:r>
      <w:r w:rsidRPr="00E06821">
        <w:rPr>
          <w:rFonts w:ascii="黑体" w:eastAsia="黑体" w:cs="黑体" w:hint="eastAsia"/>
          <w:color w:val="000000"/>
          <w:kern w:val="0"/>
          <w:sz w:val="18"/>
          <w:lang w:val="zh-CN"/>
        </w:rPr>
        <w:t>方法：</w:t>
      </w:r>
      <w:r w:rsidRPr="00E06821">
        <w:rPr>
          <w:rFonts w:ascii="楷体_GB2312" w:eastAsia="楷体_GB2312" w:cs="楷体_GB2312" w:hint="eastAsia"/>
          <w:color w:val="000000"/>
          <w:kern w:val="0"/>
          <w:sz w:val="18"/>
          <w:szCs w:val="18"/>
          <w:lang w:val="zh-CN"/>
        </w:rPr>
        <w:t>将细胞分为上调组、对照组及空白组，使用</w:t>
      </w:r>
      <w:r w:rsidRPr="00E06821">
        <w:rPr>
          <w:rFonts w:ascii="楷体_GB2312" w:eastAsia="楷体_GB2312" w:cs="楷体_GB2312"/>
          <w:color w:val="000000"/>
          <w:kern w:val="0"/>
          <w:sz w:val="18"/>
          <w:szCs w:val="18"/>
          <w:lang w:val="zh-CN"/>
        </w:rPr>
        <w:t>MTT</w:t>
      </w:r>
      <w:r w:rsidRPr="00E06821">
        <w:rPr>
          <w:rFonts w:ascii="楷体_GB2312" w:eastAsia="楷体_GB2312" w:cs="楷体_GB2312" w:hint="eastAsia"/>
          <w:color w:val="000000"/>
          <w:kern w:val="0"/>
          <w:sz w:val="18"/>
          <w:szCs w:val="18"/>
          <w:lang w:val="zh-CN"/>
        </w:rPr>
        <w:t>比色法检测细胞增殖能力，流式细胞仪检测细胞凋亡能力，采用细胞划痕实验检测细胞迁移情况，并使用</w:t>
      </w:r>
      <w:r w:rsidRPr="00E06821">
        <w:rPr>
          <w:rFonts w:ascii="楷体_GB2312" w:eastAsia="楷体_GB2312" w:cs="楷体_GB2312"/>
          <w:color w:val="000000"/>
          <w:kern w:val="0"/>
          <w:sz w:val="18"/>
          <w:szCs w:val="18"/>
          <w:lang w:val="zh-CN"/>
        </w:rPr>
        <w:t>Western blot</w:t>
      </w:r>
      <w:r w:rsidRPr="00E06821">
        <w:rPr>
          <w:rFonts w:ascii="楷体_GB2312" w:eastAsia="楷体_GB2312" w:cs="楷体_GB2312" w:hint="eastAsia"/>
          <w:color w:val="000000"/>
          <w:kern w:val="0"/>
          <w:sz w:val="18"/>
          <w:szCs w:val="18"/>
          <w:lang w:val="zh-CN"/>
        </w:rPr>
        <w:t>检测人牙周膜干细胞中</w:t>
      </w:r>
      <w:r w:rsidRPr="00E06821">
        <w:rPr>
          <w:rFonts w:ascii="楷体_GB2312" w:eastAsia="楷体_GB2312" w:cs="楷体_GB2312"/>
          <w:color w:val="000000"/>
          <w:kern w:val="0"/>
          <w:sz w:val="18"/>
          <w:szCs w:val="18"/>
          <w:lang w:val="zh-CN"/>
        </w:rPr>
        <w:t>Wnt/</w:t>
      </w:r>
      <w:r w:rsidRPr="00E06821">
        <w:rPr>
          <w:rFonts w:ascii="楷体_GB2312" w:eastAsia="楷体_GB2312" w:cs="楷体_GB2312" w:hint="eastAsia"/>
          <w:color w:val="000000"/>
          <w:kern w:val="0"/>
          <w:sz w:val="18"/>
          <w:szCs w:val="18"/>
          <w:lang w:val="zh-CN"/>
        </w:rPr>
        <w:t>β</w:t>
      </w:r>
      <w:r w:rsidRPr="00E06821">
        <w:rPr>
          <w:rFonts w:ascii="楷体_GB2312" w:eastAsia="楷体_GB2312" w:cs="楷体_GB2312"/>
          <w:color w:val="000000"/>
          <w:kern w:val="0"/>
          <w:sz w:val="18"/>
          <w:szCs w:val="18"/>
          <w:lang w:val="zh-CN"/>
        </w:rPr>
        <w:t>-catenin</w:t>
      </w:r>
      <w:r w:rsidRPr="00E06821">
        <w:rPr>
          <w:rFonts w:ascii="楷体_GB2312" w:eastAsia="楷体_GB2312" w:cs="楷体_GB2312" w:hint="eastAsia"/>
          <w:color w:val="000000"/>
          <w:kern w:val="0"/>
          <w:sz w:val="18"/>
          <w:szCs w:val="18"/>
          <w:lang w:val="zh-CN"/>
        </w:rPr>
        <w:t>信号通路蛋白（</w:t>
      </w:r>
      <w:r w:rsidRPr="00E06821">
        <w:rPr>
          <w:rFonts w:ascii="楷体_GB2312" w:eastAsia="楷体_GB2312" w:cs="楷体_GB2312"/>
          <w:color w:val="000000"/>
          <w:kern w:val="0"/>
          <w:sz w:val="18"/>
          <w:szCs w:val="18"/>
          <w:lang w:val="zh-CN"/>
        </w:rPr>
        <w:t>TGF-</w:t>
      </w:r>
      <w:r w:rsidRPr="00E06821">
        <w:rPr>
          <w:rFonts w:ascii="楷体_GB2312" w:eastAsia="楷体_GB2312" w:cs="楷体_GB2312" w:hint="eastAsia"/>
          <w:color w:val="000000"/>
          <w:kern w:val="0"/>
          <w:sz w:val="18"/>
          <w:szCs w:val="18"/>
          <w:lang w:val="zh-CN"/>
        </w:rPr>
        <w:t>β、</w:t>
      </w:r>
      <w:r w:rsidRPr="00E06821">
        <w:rPr>
          <w:rFonts w:ascii="楷体_GB2312" w:eastAsia="楷体_GB2312" w:cs="楷体_GB2312"/>
          <w:color w:val="000000"/>
          <w:kern w:val="0"/>
          <w:sz w:val="18"/>
          <w:szCs w:val="18"/>
          <w:lang w:val="zh-CN"/>
        </w:rPr>
        <w:t>BMP-2</w:t>
      </w:r>
      <w:r w:rsidRPr="00E06821">
        <w:rPr>
          <w:rFonts w:ascii="楷体_GB2312" w:eastAsia="楷体_GB2312" w:cs="楷体_GB2312" w:hint="eastAsia"/>
          <w:color w:val="000000"/>
          <w:kern w:val="0"/>
          <w:sz w:val="18"/>
          <w:szCs w:val="18"/>
          <w:lang w:val="zh-CN"/>
        </w:rPr>
        <w:t>、β</w:t>
      </w:r>
      <w:r w:rsidRPr="00E06821">
        <w:rPr>
          <w:rFonts w:ascii="楷体_GB2312" w:eastAsia="楷体_GB2312" w:cs="楷体_GB2312"/>
          <w:color w:val="000000"/>
          <w:kern w:val="0"/>
          <w:sz w:val="18"/>
          <w:szCs w:val="18"/>
          <w:lang w:val="zh-CN"/>
        </w:rPr>
        <w:t>-caten</w:t>
      </w:r>
      <w:r w:rsidRPr="00E06821">
        <w:rPr>
          <w:rFonts w:ascii="楷体_GB2312" w:eastAsia="楷体_GB2312" w:cs="楷体_GB2312" w:hint="eastAsia"/>
          <w:color w:val="000000"/>
          <w:kern w:val="0"/>
          <w:sz w:val="18"/>
          <w:szCs w:val="18"/>
          <w:lang w:val="zh-CN"/>
        </w:rPr>
        <w:t>、</w:t>
      </w:r>
      <w:r w:rsidRPr="00E06821">
        <w:rPr>
          <w:rFonts w:ascii="楷体_GB2312" w:eastAsia="楷体_GB2312" w:cs="楷体_GB2312"/>
          <w:color w:val="000000"/>
          <w:kern w:val="0"/>
          <w:sz w:val="18"/>
          <w:szCs w:val="18"/>
          <w:lang w:val="zh-CN"/>
        </w:rPr>
        <w:t>LEF-1</w:t>
      </w:r>
      <w:r w:rsidRPr="00E06821">
        <w:rPr>
          <w:rFonts w:ascii="楷体_GB2312" w:eastAsia="楷体_GB2312" w:cs="楷体_GB2312" w:hint="eastAsia"/>
          <w:color w:val="000000"/>
          <w:kern w:val="0"/>
          <w:sz w:val="18"/>
          <w:szCs w:val="18"/>
          <w:lang w:val="zh-CN"/>
        </w:rPr>
        <w:t>、</w:t>
      </w:r>
      <w:r w:rsidRPr="00E06821">
        <w:rPr>
          <w:rFonts w:ascii="楷体_GB2312" w:eastAsia="楷体_GB2312" w:cs="楷体_GB2312"/>
          <w:color w:val="000000"/>
          <w:kern w:val="0"/>
          <w:sz w:val="18"/>
          <w:szCs w:val="18"/>
          <w:lang w:val="zh-CN"/>
        </w:rPr>
        <w:t>Cyclin D1</w:t>
      </w:r>
      <w:r w:rsidRPr="00E06821">
        <w:rPr>
          <w:rFonts w:ascii="楷体_GB2312" w:eastAsia="楷体_GB2312" w:cs="楷体_GB2312" w:hint="eastAsia"/>
          <w:color w:val="000000"/>
          <w:kern w:val="0"/>
          <w:sz w:val="18"/>
          <w:szCs w:val="18"/>
          <w:lang w:val="zh-CN"/>
        </w:rPr>
        <w:t>、</w:t>
      </w:r>
      <w:r w:rsidRPr="00E06821">
        <w:rPr>
          <w:rFonts w:ascii="楷体_GB2312" w:eastAsia="楷体_GB2312" w:cs="楷体_GB2312"/>
          <w:color w:val="000000"/>
          <w:kern w:val="0"/>
          <w:sz w:val="18"/>
          <w:szCs w:val="18"/>
          <w:lang w:val="zh-CN"/>
        </w:rPr>
        <w:t>Caspase-3</w:t>
      </w:r>
      <w:r w:rsidRPr="00E06821">
        <w:rPr>
          <w:rFonts w:ascii="楷体_GB2312" w:eastAsia="楷体_GB2312" w:cs="楷体_GB2312" w:hint="eastAsia"/>
          <w:color w:val="000000"/>
          <w:kern w:val="0"/>
          <w:sz w:val="18"/>
          <w:szCs w:val="18"/>
          <w:lang w:val="zh-CN"/>
        </w:rPr>
        <w:t>、</w:t>
      </w:r>
      <w:r w:rsidRPr="00E06821">
        <w:rPr>
          <w:rFonts w:ascii="楷体_GB2312" w:eastAsia="楷体_GB2312" w:cs="楷体_GB2312"/>
          <w:color w:val="000000"/>
          <w:kern w:val="0"/>
          <w:sz w:val="18"/>
          <w:szCs w:val="18"/>
          <w:lang w:val="zh-CN"/>
        </w:rPr>
        <w:t>Bax</w:t>
      </w:r>
      <w:r w:rsidRPr="00E06821">
        <w:rPr>
          <w:rFonts w:ascii="楷体_GB2312" w:eastAsia="楷体_GB2312" w:cs="楷体_GB2312" w:hint="eastAsia"/>
          <w:color w:val="000000"/>
          <w:kern w:val="0"/>
          <w:sz w:val="18"/>
          <w:szCs w:val="18"/>
          <w:lang w:val="zh-CN"/>
        </w:rPr>
        <w:t>、</w:t>
      </w:r>
      <w:r w:rsidRPr="00E06821">
        <w:rPr>
          <w:rFonts w:ascii="楷体_GB2312" w:eastAsia="楷体_GB2312" w:cs="楷体_GB2312"/>
          <w:color w:val="000000"/>
          <w:kern w:val="0"/>
          <w:sz w:val="18"/>
          <w:szCs w:val="18"/>
          <w:lang w:val="zh-CN"/>
        </w:rPr>
        <w:t>Bcl-2</w:t>
      </w:r>
      <w:r w:rsidRPr="00E06821">
        <w:rPr>
          <w:rFonts w:ascii="楷体_GB2312" w:eastAsia="楷体_GB2312" w:cs="楷体_GB2312" w:hint="eastAsia"/>
          <w:color w:val="000000"/>
          <w:kern w:val="0"/>
          <w:sz w:val="18"/>
          <w:szCs w:val="18"/>
          <w:lang w:val="zh-CN"/>
        </w:rPr>
        <w:t>）表达量。</w:t>
      </w:r>
      <w:r w:rsidRPr="00E06821">
        <w:rPr>
          <w:rFonts w:ascii="黑体" w:eastAsia="黑体" w:cs="黑体" w:hint="eastAsia"/>
          <w:color w:val="000000"/>
          <w:kern w:val="0"/>
          <w:sz w:val="18"/>
          <w:lang w:val="zh-CN"/>
        </w:rPr>
        <w:t>结果：</w:t>
      </w:r>
      <w:r w:rsidRPr="00E06821">
        <w:rPr>
          <w:rFonts w:ascii="楷体_GB2312" w:eastAsia="楷体_GB2312" w:cs="楷体_GB2312" w:hint="eastAsia"/>
          <w:color w:val="000000"/>
          <w:kern w:val="0"/>
          <w:sz w:val="18"/>
          <w:szCs w:val="18"/>
          <w:lang w:val="zh-CN"/>
        </w:rPr>
        <w:t>对照组各时间点的人牙周膜干细胞增殖率、碱性磷酸酶活性、迁移、黏附个数、</w:t>
      </w:r>
      <w:r w:rsidRPr="00E06821">
        <w:rPr>
          <w:rFonts w:ascii="楷体_GB2312" w:eastAsia="楷体_GB2312" w:cs="楷体_GB2312"/>
          <w:color w:val="000000"/>
          <w:kern w:val="0"/>
          <w:sz w:val="18"/>
          <w:szCs w:val="18"/>
          <w:lang w:val="zh-CN"/>
        </w:rPr>
        <w:t>TGF-</w:t>
      </w:r>
      <w:r w:rsidRPr="00E06821">
        <w:rPr>
          <w:rFonts w:ascii="楷体_GB2312" w:eastAsia="楷体_GB2312" w:cs="楷体_GB2312" w:hint="eastAsia"/>
          <w:color w:val="000000"/>
          <w:kern w:val="0"/>
          <w:sz w:val="18"/>
          <w:szCs w:val="18"/>
          <w:lang w:val="zh-CN"/>
        </w:rPr>
        <w:t>β、</w:t>
      </w:r>
      <w:r w:rsidRPr="00E06821">
        <w:rPr>
          <w:rFonts w:ascii="楷体_GB2312" w:eastAsia="楷体_GB2312" w:cs="楷体_GB2312"/>
          <w:color w:val="000000"/>
          <w:kern w:val="0"/>
          <w:sz w:val="18"/>
          <w:szCs w:val="18"/>
          <w:lang w:val="zh-CN"/>
        </w:rPr>
        <w:t>BMP-2</w:t>
      </w:r>
      <w:r w:rsidRPr="00E06821">
        <w:rPr>
          <w:rFonts w:ascii="楷体_GB2312" w:eastAsia="楷体_GB2312" w:cs="楷体_GB2312" w:hint="eastAsia"/>
          <w:color w:val="000000"/>
          <w:kern w:val="0"/>
          <w:sz w:val="18"/>
          <w:szCs w:val="18"/>
          <w:lang w:val="zh-CN"/>
        </w:rPr>
        <w:t>、β</w:t>
      </w:r>
      <w:r w:rsidRPr="00E06821">
        <w:rPr>
          <w:rFonts w:ascii="楷体_GB2312" w:eastAsia="楷体_GB2312" w:cs="楷体_GB2312"/>
          <w:color w:val="000000"/>
          <w:kern w:val="0"/>
          <w:sz w:val="18"/>
          <w:szCs w:val="18"/>
          <w:lang w:val="zh-CN"/>
        </w:rPr>
        <w:t>-caten</w:t>
      </w:r>
      <w:r w:rsidRPr="00E06821">
        <w:rPr>
          <w:rFonts w:ascii="楷体_GB2312" w:eastAsia="楷体_GB2312" w:cs="楷体_GB2312" w:hint="eastAsia"/>
          <w:color w:val="000000"/>
          <w:kern w:val="0"/>
          <w:sz w:val="18"/>
          <w:szCs w:val="18"/>
          <w:lang w:val="zh-CN"/>
        </w:rPr>
        <w:t>、</w:t>
      </w:r>
      <w:r w:rsidRPr="00E06821">
        <w:rPr>
          <w:rFonts w:ascii="楷体_GB2312" w:eastAsia="楷体_GB2312" w:cs="楷体_GB2312"/>
          <w:color w:val="000000"/>
          <w:kern w:val="0"/>
          <w:sz w:val="18"/>
          <w:szCs w:val="18"/>
          <w:lang w:val="zh-CN"/>
        </w:rPr>
        <w:t>LEF-1</w:t>
      </w:r>
      <w:r w:rsidRPr="00E06821">
        <w:rPr>
          <w:rFonts w:ascii="楷体_GB2312" w:eastAsia="楷体_GB2312" w:cs="楷体_GB2312" w:hint="eastAsia"/>
          <w:color w:val="000000"/>
          <w:kern w:val="0"/>
          <w:sz w:val="18"/>
          <w:szCs w:val="18"/>
          <w:lang w:val="zh-CN"/>
        </w:rPr>
        <w:t>、</w:t>
      </w:r>
      <w:r w:rsidRPr="00E06821">
        <w:rPr>
          <w:rFonts w:ascii="楷体_GB2312" w:eastAsia="楷体_GB2312" w:cs="楷体_GB2312"/>
          <w:color w:val="000000"/>
          <w:kern w:val="0"/>
          <w:sz w:val="18"/>
          <w:szCs w:val="18"/>
          <w:lang w:val="zh-CN"/>
        </w:rPr>
        <w:t>Cyclin D1</w:t>
      </w:r>
      <w:r w:rsidRPr="00E06821">
        <w:rPr>
          <w:rFonts w:ascii="楷体_GB2312" w:eastAsia="楷体_GB2312" w:cs="楷体_GB2312" w:hint="eastAsia"/>
          <w:color w:val="000000"/>
          <w:kern w:val="0"/>
          <w:sz w:val="18"/>
          <w:szCs w:val="18"/>
          <w:lang w:val="zh-CN"/>
        </w:rPr>
        <w:t>、</w:t>
      </w:r>
      <w:r w:rsidRPr="00E06821">
        <w:rPr>
          <w:rFonts w:ascii="楷体_GB2312" w:eastAsia="楷体_GB2312" w:cs="楷体_GB2312"/>
          <w:color w:val="000000"/>
          <w:kern w:val="0"/>
          <w:sz w:val="18"/>
          <w:szCs w:val="18"/>
          <w:lang w:val="zh-CN"/>
        </w:rPr>
        <w:t>Bcl-2</w:t>
      </w:r>
      <w:r w:rsidRPr="00E06821">
        <w:rPr>
          <w:rFonts w:ascii="楷体_GB2312" w:eastAsia="楷体_GB2312" w:cs="楷体_GB2312" w:hint="eastAsia"/>
          <w:color w:val="000000"/>
          <w:kern w:val="0"/>
          <w:sz w:val="18"/>
          <w:szCs w:val="18"/>
          <w:lang w:val="zh-CN"/>
        </w:rPr>
        <w:t>蛋白表达量均低于空白组，且凋亡率、</w:t>
      </w:r>
      <w:r w:rsidRPr="00E06821">
        <w:rPr>
          <w:rFonts w:ascii="楷体_GB2312" w:eastAsia="楷体_GB2312" w:cs="楷体_GB2312"/>
          <w:color w:val="000000"/>
          <w:kern w:val="0"/>
          <w:sz w:val="18"/>
          <w:szCs w:val="18"/>
          <w:lang w:val="zh-CN"/>
        </w:rPr>
        <w:t>Caspase-3</w:t>
      </w:r>
      <w:r w:rsidRPr="00E06821">
        <w:rPr>
          <w:rFonts w:ascii="楷体_GB2312" w:eastAsia="楷体_GB2312" w:cs="楷体_GB2312" w:hint="eastAsia"/>
          <w:color w:val="000000"/>
          <w:kern w:val="0"/>
          <w:sz w:val="18"/>
          <w:szCs w:val="18"/>
          <w:lang w:val="zh-CN"/>
        </w:rPr>
        <w:t>、</w:t>
      </w:r>
      <w:r w:rsidRPr="00E06821">
        <w:rPr>
          <w:rFonts w:ascii="楷体_GB2312" w:eastAsia="楷体_GB2312" w:cs="楷体_GB2312"/>
          <w:color w:val="000000"/>
          <w:kern w:val="0"/>
          <w:sz w:val="18"/>
          <w:szCs w:val="18"/>
          <w:lang w:val="zh-CN"/>
        </w:rPr>
        <w:t>Bax</w:t>
      </w:r>
      <w:r w:rsidRPr="00E06821">
        <w:rPr>
          <w:rFonts w:ascii="楷体_GB2312" w:eastAsia="楷体_GB2312" w:cs="楷体_GB2312" w:hint="eastAsia"/>
          <w:color w:val="000000"/>
          <w:kern w:val="0"/>
          <w:sz w:val="18"/>
          <w:szCs w:val="18"/>
          <w:lang w:val="zh-CN"/>
        </w:rPr>
        <w:t>蛋白表达量高于空白组，差异具有统计学意义（</w:t>
      </w:r>
      <w:r w:rsidRPr="00E06821">
        <w:rPr>
          <w:rFonts w:ascii="楷体_GB2312" w:eastAsia="楷体_GB2312" w:cs="楷体_GB2312"/>
          <w:color w:val="000000"/>
          <w:kern w:val="0"/>
          <w:sz w:val="18"/>
          <w:szCs w:val="18"/>
          <w:lang w:val="zh-CN"/>
        </w:rPr>
        <w:t>P</w:t>
      </w:r>
      <w:r w:rsidRPr="00E06821">
        <w:rPr>
          <w:rFonts w:ascii="楷体_GB2312" w:eastAsia="楷体_GB2312" w:cs="楷体_GB2312" w:hint="eastAsia"/>
          <w:color w:val="000000"/>
          <w:kern w:val="0"/>
          <w:sz w:val="18"/>
          <w:szCs w:val="18"/>
          <w:lang w:val="zh-CN"/>
        </w:rPr>
        <w:t>＜</w:t>
      </w:r>
      <w:r w:rsidRPr="00E06821">
        <w:rPr>
          <w:rFonts w:ascii="楷体_GB2312" w:eastAsia="楷体_GB2312" w:cs="楷体_GB2312"/>
          <w:color w:val="000000"/>
          <w:kern w:val="0"/>
          <w:sz w:val="18"/>
          <w:szCs w:val="18"/>
          <w:lang w:val="zh-CN"/>
        </w:rPr>
        <w:t>0.05</w:t>
      </w:r>
      <w:r w:rsidRPr="00E06821">
        <w:rPr>
          <w:rFonts w:ascii="楷体_GB2312" w:eastAsia="楷体_GB2312" w:cs="楷体_GB2312" w:hint="eastAsia"/>
          <w:color w:val="000000"/>
          <w:kern w:val="0"/>
          <w:sz w:val="18"/>
          <w:szCs w:val="18"/>
          <w:lang w:val="zh-CN"/>
        </w:rPr>
        <w:t>）。上调组各时间点人牙周膜干细胞增殖率、碱性磷酸酶活性、迁移、黏附个数、</w:t>
      </w:r>
      <w:r w:rsidRPr="00E06821">
        <w:rPr>
          <w:rFonts w:ascii="楷体_GB2312" w:eastAsia="楷体_GB2312" w:cs="楷体_GB2312"/>
          <w:color w:val="000000"/>
          <w:kern w:val="0"/>
          <w:sz w:val="18"/>
          <w:szCs w:val="18"/>
          <w:lang w:val="zh-CN"/>
        </w:rPr>
        <w:t>TGF-</w:t>
      </w:r>
      <w:r w:rsidRPr="00E06821">
        <w:rPr>
          <w:rFonts w:ascii="楷体_GB2312" w:eastAsia="楷体_GB2312" w:cs="楷体_GB2312" w:hint="eastAsia"/>
          <w:color w:val="000000"/>
          <w:kern w:val="0"/>
          <w:sz w:val="18"/>
          <w:szCs w:val="18"/>
          <w:lang w:val="zh-CN"/>
        </w:rPr>
        <w:t>β、</w:t>
      </w:r>
      <w:r w:rsidRPr="00E06821">
        <w:rPr>
          <w:rFonts w:ascii="楷体_GB2312" w:eastAsia="楷体_GB2312" w:cs="楷体_GB2312"/>
          <w:color w:val="000000"/>
          <w:kern w:val="0"/>
          <w:sz w:val="18"/>
          <w:szCs w:val="18"/>
          <w:lang w:val="zh-CN"/>
        </w:rPr>
        <w:t>BMP-2</w:t>
      </w:r>
      <w:r w:rsidRPr="00E06821">
        <w:rPr>
          <w:rFonts w:ascii="楷体_GB2312" w:eastAsia="楷体_GB2312" w:cs="楷体_GB2312" w:hint="eastAsia"/>
          <w:color w:val="000000"/>
          <w:kern w:val="0"/>
          <w:sz w:val="18"/>
          <w:szCs w:val="18"/>
          <w:lang w:val="zh-CN"/>
        </w:rPr>
        <w:t>、β</w:t>
      </w:r>
      <w:r w:rsidRPr="00E06821">
        <w:rPr>
          <w:rFonts w:ascii="楷体_GB2312" w:eastAsia="楷体_GB2312" w:cs="楷体_GB2312"/>
          <w:color w:val="000000"/>
          <w:kern w:val="0"/>
          <w:sz w:val="18"/>
          <w:szCs w:val="18"/>
          <w:lang w:val="zh-CN"/>
        </w:rPr>
        <w:t>-caten</w:t>
      </w:r>
      <w:r w:rsidRPr="00E06821">
        <w:rPr>
          <w:rFonts w:ascii="楷体_GB2312" w:eastAsia="楷体_GB2312" w:cs="楷体_GB2312" w:hint="eastAsia"/>
          <w:color w:val="000000"/>
          <w:kern w:val="0"/>
          <w:sz w:val="18"/>
          <w:szCs w:val="18"/>
          <w:lang w:val="zh-CN"/>
        </w:rPr>
        <w:t>、</w:t>
      </w:r>
      <w:r w:rsidRPr="00E06821">
        <w:rPr>
          <w:rFonts w:ascii="楷体_GB2312" w:eastAsia="楷体_GB2312" w:cs="楷体_GB2312"/>
          <w:color w:val="000000"/>
          <w:kern w:val="0"/>
          <w:sz w:val="18"/>
          <w:szCs w:val="18"/>
          <w:lang w:val="zh-CN"/>
        </w:rPr>
        <w:t>LEF-1</w:t>
      </w:r>
      <w:r w:rsidRPr="00E06821">
        <w:rPr>
          <w:rFonts w:ascii="楷体_GB2312" w:eastAsia="楷体_GB2312" w:cs="楷体_GB2312" w:hint="eastAsia"/>
          <w:color w:val="000000"/>
          <w:kern w:val="0"/>
          <w:sz w:val="18"/>
          <w:szCs w:val="18"/>
          <w:lang w:val="zh-CN"/>
        </w:rPr>
        <w:t>、</w:t>
      </w:r>
      <w:r w:rsidRPr="00E06821">
        <w:rPr>
          <w:rFonts w:ascii="楷体_GB2312" w:eastAsia="楷体_GB2312" w:cs="楷体_GB2312"/>
          <w:color w:val="000000"/>
          <w:kern w:val="0"/>
          <w:sz w:val="18"/>
          <w:szCs w:val="18"/>
          <w:lang w:val="zh-CN"/>
        </w:rPr>
        <w:t>Cyclin D1</w:t>
      </w:r>
      <w:r w:rsidRPr="00E06821">
        <w:rPr>
          <w:rFonts w:ascii="楷体_GB2312" w:eastAsia="楷体_GB2312" w:cs="楷体_GB2312" w:hint="eastAsia"/>
          <w:color w:val="000000"/>
          <w:kern w:val="0"/>
          <w:sz w:val="18"/>
          <w:szCs w:val="18"/>
          <w:lang w:val="zh-CN"/>
        </w:rPr>
        <w:t>、</w:t>
      </w:r>
      <w:r w:rsidRPr="00E06821">
        <w:rPr>
          <w:rFonts w:ascii="楷体_GB2312" w:eastAsia="楷体_GB2312" w:cs="楷体_GB2312"/>
          <w:color w:val="000000"/>
          <w:kern w:val="0"/>
          <w:sz w:val="18"/>
          <w:szCs w:val="18"/>
          <w:lang w:val="zh-CN"/>
        </w:rPr>
        <w:t>Bcl-2</w:t>
      </w:r>
      <w:r w:rsidRPr="00E06821">
        <w:rPr>
          <w:rFonts w:ascii="楷体_GB2312" w:eastAsia="楷体_GB2312" w:cs="楷体_GB2312" w:hint="eastAsia"/>
          <w:color w:val="000000"/>
          <w:kern w:val="0"/>
          <w:sz w:val="18"/>
          <w:szCs w:val="18"/>
          <w:lang w:val="zh-CN"/>
        </w:rPr>
        <w:t>蛋白表达量均高于空白组和对照组，且凋亡率、</w:t>
      </w:r>
      <w:r w:rsidRPr="00E06821">
        <w:rPr>
          <w:rFonts w:ascii="楷体_GB2312" w:eastAsia="楷体_GB2312" w:cs="楷体_GB2312"/>
          <w:color w:val="000000"/>
          <w:kern w:val="0"/>
          <w:sz w:val="18"/>
          <w:szCs w:val="18"/>
          <w:lang w:val="zh-CN"/>
        </w:rPr>
        <w:t>Caspase-3</w:t>
      </w:r>
      <w:r w:rsidRPr="00E06821">
        <w:rPr>
          <w:rFonts w:ascii="楷体_GB2312" w:eastAsia="楷体_GB2312" w:cs="楷体_GB2312" w:hint="eastAsia"/>
          <w:color w:val="000000"/>
          <w:kern w:val="0"/>
          <w:sz w:val="18"/>
          <w:szCs w:val="18"/>
          <w:lang w:val="zh-CN"/>
        </w:rPr>
        <w:t>、</w:t>
      </w:r>
      <w:r w:rsidRPr="00E06821">
        <w:rPr>
          <w:rFonts w:ascii="楷体_GB2312" w:eastAsia="楷体_GB2312" w:cs="楷体_GB2312"/>
          <w:color w:val="000000"/>
          <w:kern w:val="0"/>
          <w:sz w:val="18"/>
          <w:szCs w:val="18"/>
          <w:lang w:val="zh-CN"/>
        </w:rPr>
        <w:t>Bax</w:t>
      </w:r>
      <w:r w:rsidRPr="00E06821">
        <w:rPr>
          <w:rFonts w:ascii="楷体_GB2312" w:eastAsia="楷体_GB2312" w:cs="楷体_GB2312" w:hint="eastAsia"/>
          <w:color w:val="000000"/>
          <w:kern w:val="0"/>
          <w:sz w:val="18"/>
          <w:szCs w:val="18"/>
          <w:lang w:val="zh-CN"/>
        </w:rPr>
        <w:t>蛋白表达量均低于空白组和对照组，差异具有统计学意义（</w:t>
      </w:r>
      <w:r w:rsidRPr="00E06821">
        <w:rPr>
          <w:rFonts w:ascii="楷体_GB2312" w:eastAsia="楷体_GB2312" w:cs="楷体_GB2312"/>
          <w:color w:val="000000"/>
          <w:kern w:val="0"/>
          <w:sz w:val="18"/>
          <w:szCs w:val="18"/>
          <w:lang w:val="zh-CN"/>
        </w:rPr>
        <w:t>P</w:t>
      </w:r>
      <w:r w:rsidRPr="00E06821">
        <w:rPr>
          <w:rFonts w:ascii="楷体_GB2312" w:eastAsia="楷体_GB2312" w:cs="楷体_GB2312" w:hint="eastAsia"/>
          <w:color w:val="000000"/>
          <w:kern w:val="0"/>
          <w:sz w:val="18"/>
          <w:szCs w:val="18"/>
          <w:lang w:val="zh-CN"/>
        </w:rPr>
        <w:t>＜</w:t>
      </w:r>
      <w:r w:rsidRPr="00E06821">
        <w:rPr>
          <w:rFonts w:ascii="楷体_GB2312" w:eastAsia="楷体_GB2312" w:cs="楷体_GB2312"/>
          <w:color w:val="000000"/>
          <w:kern w:val="0"/>
          <w:sz w:val="18"/>
          <w:szCs w:val="18"/>
          <w:lang w:val="zh-CN"/>
        </w:rPr>
        <w:t>0.05</w:t>
      </w:r>
      <w:r w:rsidRPr="00E06821">
        <w:rPr>
          <w:rFonts w:ascii="楷体_GB2312" w:eastAsia="楷体_GB2312" w:cs="楷体_GB2312" w:hint="eastAsia"/>
          <w:color w:val="000000"/>
          <w:kern w:val="0"/>
          <w:sz w:val="18"/>
          <w:szCs w:val="18"/>
          <w:lang w:val="zh-CN"/>
        </w:rPr>
        <w:t>）。</w:t>
      </w:r>
      <w:r w:rsidRPr="00E06821">
        <w:rPr>
          <w:rFonts w:ascii="黑体" w:eastAsia="黑体" w:cs="黑体" w:hint="eastAsia"/>
          <w:color w:val="000000"/>
          <w:kern w:val="0"/>
          <w:sz w:val="18"/>
          <w:lang w:val="zh-CN"/>
        </w:rPr>
        <w:t>结论：</w:t>
      </w:r>
      <w:r w:rsidRPr="00E06821">
        <w:rPr>
          <w:rFonts w:ascii="楷体_GB2312" w:eastAsia="楷体_GB2312" w:cs="楷体_GB2312" w:hint="eastAsia"/>
          <w:color w:val="000000"/>
          <w:kern w:val="0"/>
          <w:sz w:val="18"/>
          <w:szCs w:val="18"/>
          <w:lang w:val="zh-CN"/>
        </w:rPr>
        <w:t>上调</w:t>
      </w:r>
      <w:r w:rsidRPr="00E06821">
        <w:rPr>
          <w:rFonts w:ascii="楷体_GB2312" w:eastAsia="楷体_GB2312" w:cs="楷体_GB2312"/>
          <w:color w:val="000000"/>
          <w:kern w:val="0"/>
          <w:sz w:val="18"/>
          <w:szCs w:val="18"/>
          <w:lang w:val="zh-CN"/>
        </w:rPr>
        <w:t>NICD</w:t>
      </w:r>
      <w:r w:rsidRPr="00E06821">
        <w:rPr>
          <w:rFonts w:ascii="楷体_GB2312" w:eastAsia="楷体_GB2312" w:cs="楷体_GB2312" w:hint="eastAsia"/>
          <w:color w:val="000000"/>
          <w:kern w:val="0"/>
          <w:sz w:val="18"/>
          <w:szCs w:val="18"/>
          <w:lang w:val="zh-CN"/>
        </w:rPr>
        <w:t>基因能促进人牙周膜干细胞的增殖和迁移，其机制可能与</w:t>
      </w:r>
      <w:r w:rsidRPr="00E06821">
        <w:rPr>
          <w:rFonts w:ascii="楷体_GB2312" w:eastAsia="楷体_GB2312" w:cs="楷体_GB2312"/>
          <w:color w:val="000000"/>
          <w:kern w:val="0"/>
          <w:sz w:val="18"/>
          <w:szCs w:val="18"/>
          <w:lang w:val="zh-CN"/>
        </w:rPr>
        <w:t>Wnt/</w:t>
      </w:r>
      <w:r w:rsidRPr="00E06821">
        <w:rPr>
          <w:rFonts w:ascii="楷体_GB2312" w:eastAsia="楷体_GB2312" w:cs="楷体_GB2312" w:hint="eastAsia"/>
          <w:color w:val="000000"/>
          <w:kern w:val="0"/>
          <w:sz w:val="18"/>
          <w:szCs w:val="18"/>
          <w:lang w:val="zh-CN"/>
        </w:rPr>
        <w:t>β</w:t>
      </w:r>
      <w:r w:rsidRPr="00E06821">
        <w:rPr>
          <w:rFonts w:ascii="楷体_GB2312" w:eastAsia="楷体_GB2312" w:cs="楷体_GB2312"/>
          <w:color w:val="000000"/>
          <w:kern w:val="0"/>
          <w:sz w:val="18"/>
          <w:szCs w:val="18"/>
          <w:lang w:val="zh-CN"/>
        </w:rPr>
        <w:t>-catenin</w:t>
      </w:r>
      <w:r w:rsidRPr="00E06821">
        <w:rPr>
          <w:rFonts w:ascii="楷体_GB2312" w:eastAsia="楷体_GB2312" w:cs="楷体_GB2312" w:hint="eastAsia"/>
          <w:color w:val="000000"/>
          <w:kern w:val="0"/>
          <w:sz w:val="18"/>
          <w:szCs w:val="18"/>
          <w:lang w:val="zh-CN"/>
        </w:rPr>
        <w:t>通路有关。</w:t>
      </w:r>
    </w:p>
    <w:p w:rsidR="00E06821" w:rsidRPr="00E06821" w:rsidRDefault="00E06821" w:rsidP="00E06821">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E06821">
        <w:rPr>
          <w:rFonts w:ascii="黑体" w:eastAsia="黑体" w:cs="黑体"/>
          <w:color w:val="000000"/>
          <w:kern w:val="0"/>
          <w:sz w:val="18"/>
          <w:lang w:val="zh-CN"/>
        </w:rPr>
        <w:t>[</w:t>
      </w:r>
      <w:r w:rsidRPr="00E06821">
        <w:rPr>
          <w:rFonts w:ascii="黑体" w:eastAsia="黑体" w:cs="黑体" w:hint="eastAsia"/>
          <w:color w:val="000000"/>
          <w:kern w:val="0"/>
          <w:sz w:val="18"/>
          <w:lang w:val="zh-CN"/>
        </w:rPr>
        <w:t>关键词</w:t>
      </w:r>
      <w:r w:rsidRPr="00E06821">
        <w:rPr>
          <w:rFonts w:ascii="黑体" w:eastAsia="黑体" w:cs="黑体"/>
          <w:color w:val="000000"/>
          <w:kern w:val="0"/>
          <w:sz w:val="18"/>
          <w:lang w:val="zh-CN"/>
        </w:rPr>
        <w:t>]</w:t>
      </w:r>
      <w:r w:rsidRPr="00E06821">
        <w:rPr>
          <w:rFonts w:ascii="楷体_GB2312" w:eastAsia="楷体_GB2312" w:cs="楷体_GB2312"/>
          <w:color w:val="000000"/>
          <w:kern w:val="0"/>
          <w:sz w:val="18"/>
          <w:szCs w:val="18"/>
          <w:lang w:val="zh-CN"/>
        </w:rPr>
        <w:t>Notch</w:t>
      </w:r>
      <w:r w:rsidRPr="00E06821">
        <w:rPr>
          <w:rFonts w:ascii="楷体_GB2312" w:eastAsia="楷体_GB2312" w:cs="楷体_GB2312" w:hint="eastAsia"/>
          <w:color w:val="000000"/>
          <w:kern w:val="0"/>
          <w:sz w:val="18"/>
          <w:szCs w:val="18"/>
          <w:lang w:val="zh-CN"/>
        </w:rPr>
        <w:t>胞内结构域；人牙周膜干细胞；增殖；凋亡；迁移；信号通路</w:t>
      </w:r>
    </w:p>
    <w:p w:rsidR="00E06821" w:rsidRPr="00E06821" w:rsidRDefault="00E06821" w:rsidP="00E06821">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E06821">
        <w:rPr>
          <w:rFonts w:ascii="黑体" w:eastAsia="黑体" w:cs="黑体"/>
          <w:color w:val="000000"/>
          <w:kern w:val="0"/>
          <w:sz w:val="18"/>
          <w:lang w:val="zh-CN"/>
        </w:rPr>
        <w:t>[</w:t>
      </w:r>
      <w:r w:rsidRPr="00E06821">
        <w:rPr>
          <w:rFonts w:ascii="黑体" w:eastAsia="黑体" w:cs="黑体" w:hint="eastAsia"/>
          <w:color w:val="000000"/>
          <w:kern w:val="0"/>
          <w:sz w:val="18"/>
          <w:lang w:val="zh-CN"/>
        </w:rPr>
        <w:t>中图分类号</w:t>
      </w:r>
      <w:r w:rsidRPr="00E06821">
        <w:rPr>
          <w:rFonts w:ascii="黑体" w:eastAsia="黑体" w:cs="黑体"/>
          <w:color w:val="000000"/>
          <w:kern w:val="0"/>
          <w:sz w:val="18"/>
          <w:lang w:val="zh-CN"/>
        </w:rPr>
        <w:t>]</w:t>
      </w:r>
      <w:r w:rsidRPr="00E06821">
        <w:rPr>
          <w:rFonts w:ascii="楷体_GB2312" w:eastAsia="楷体_GB2312" w:cs="楷体_GB2312"/>
          <w:color w:val="000000"/>
          <w:kern w:val="0"/>
          <w:sz w:val="18"/>
          <w:szCs w:val="18"/>
          <w:lang w:val="zh-CN"/>
        </w:rPr>
        <w:t xml:space="preserve">R781    </w:t>
      </w:r>
      <w:r w:rsidRPr="00E06821">
        <w:rPr>
          <w:rFonts w:ascii="黑体" w:eastAsia="黑体" w:cs="黑体"/>
          <w:color w:val="000000"/>
          <w:kern w:val="0"/>
          <w:sz w:val="18"/>
          <w:lang w:val="zh-CN"/>
        </w:rPr>
        <w:t>[</w:t>
      </w:r>
      <w:r w:rsidRPr="00E06821">
        <w:rPr>
          <w:rFonts w:ascii="黑体" w:eastAsia="黑体" w:cs="黑体" w:hint="eastAsia"/>
          <w:color w:val="000000"/>
          <w:kern w:val="0"/>
          <w:sz w:val="18"/>
          <w:lang w:val="zh-CN"/>
        </w:rPr>
        <w:t>文献标志码</w:t>
      </w:r>
      <w:r w:rsidRPr="00E06821">
        <w:rPr>
          <w:rFonts w:ascii="黑体" w:eastAsia="黑体" w:cs="黑体"/>
          <w:color w:val="000000"/>
          <w:kern w:val="0"/>
          <w:sz w:val="18"/>
          <w:lang w:val="zh-CN"/>
        </w:rPr>
        <w:t>]</w:t>
      </w:r>
      <w:r w:rsidRPr="00E06821">
        <w:rPr>
          <w:rFonts w:ascii="楷体_GB2312" w:eastAsia="楷体_GB2312" w:cs="楷体_GB2312"/>
          <w:color w:val="000000"/>
          <w:kern w:val="0"/>
          <w:sz w:val="18"/>
          <w:szCs w:val="18"/>
          <w:lang w:val="zh-CN"/>
        </w:rPr>
        <w:t xml:space="preserve">A    </w:t>
      </w:r>
      <w:r w:rsidRPr="00E06821">
        <w:rPr>
          <w:rFonts w:ascii="黑体" w:eastAsia="黑体" w:cs="黑体"/>
          <w:color w:val="000000"/>
          <w:kern w:val="0"/>
          <w:sz w:val="18"/>
          <w:lang w:val="zh-CN"/>
        </w:rPr>
        <w:t>[</w:t>
      </w:r>
      <w:r w:rsidRPr="00E06821">
        <w:rPr>
          <w:rFonts w:ascii="黑体" w:eastAsia="黑体" w:cs="黑体" w:hint="eastAsia"/>
          <w:color w:val="000000"/>
          <w:kern w:val="0"/>
          <w:sz w:val="18"/>
          <w:lang w:val="zh-CN"/>
        </w:rPr>
        <w:t>文章编号</w:t>
      </w:r>
      <w:r w:rsidRPr="00E06821">
        <w:rPr>
          <w:rFonts w:ascii="黑体" w:eastAsia="黑体" w:cs="黑体"/>
          <w:color w:val="000000"/>
          <w:kern w:val="0"/>
          <w:sz w:val="18"/>
          <w:lang w:val="zh-CN"/>
        </w:rPr>
        <w:t>]</w:t>
      </w:r>
      <w:r w:rsidRPr="00E06821">
        <w:rPr>
          <w:rFonts w:ascii="楷体_GB2312" w:eastAsia="楷体_GB2312" w:cs="楷体_GB2312"/>
          <w:color w:val="000000"/>
          <w:kern w:val="0"/>
          <w:sz w:val="18"/>
          <w:szCs w:val="18"/>
          <w:lang w:val="zh-CN"/>
        </w:rPr>
        <w:t>1008-6455</w:t>
      </w:r>
      <w:r w:rsidRPr="00E06821">
        <w:rPr>
          <w:rFonts w:ascii="楷体_GB2312" w:eastAsia="楷体_GB2312" w:cs="楷体_GB2312" w:hint="eastAsia"/>
          <w:color w:val="000000"/>
          <w:kern w:val="0"/>
          <w:sz w:val="18"/>
          <w:szCs w:val="18"/>
          <w:lang w:val="zh-CN"/>
        </w:rPr>
        <w:t>（</w:t>
      </w:r>
      <w:r w:rsidRPr="00E06821">
        <w:rPr>
          <w:rFonts w:ascii="楷体_GB2312" w:eastAsia="楷体_GB2312" w:cs="楷体_GB2312"/>
          <w:color w:val="000000"/>
          <w:kern w:val="0"/>
          <w:sz w:val="18"/>
          <w:szCs w:val="18"/>
          <w:lang w:val="zh-CN"/>
        </w:rPr>
        <w:t>2022</w:t>
      </w:r>
      <w:r w:rsidRPr="00E06821">
        <w:rPr>
          <w:rFonts w:ascii="楷体_GB2312" w:eastAsia="楷体_GB2312" w:cs="楷体_GB2312" w:hint="eastAsia"/>
          <w:color w:val="000000"/>
          <w:kern w:val="0"/>
          <w:sz w:val="18"/>
          <w:szCs w:val="18"/>
          <w:lang w:val="zh-CN"/>
        </w:rPr>
        <w:t>）</w:t>
      </w:r>
      <w:r w:rsidRPr="00E06821">
        <w:rPr>
          <w:rFonts w:ascii="楷体_GB2312" w:eastAsia="楷体_GB2312" w:cs="楷体_GB2312"/>
          <w:color w:val="000000"/>
          <w:kern w:val="0"/>
          <w:sz w:val="18"/>
          <w:szCs w:val="18"/>
          <w:lang w:val="zh-CN"/>
        </w:rPr>
        <w:t>01-0097-05</w:t>
      </w:r>
    </w:p>
    <w:p w:rsidR="00E06821" w:rsidRPr="00E06821" w:rsidRDefault="00E06821" w:rsidP="00E06821">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rsidR="00E06821" w:rsidRPr="00E06821" w:rsidRDefault="00E06821" w:rsidP="00E06821">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E06821">
        <w:rPr>
          <w:rFonts w:ascii="ITC Avant Garde Gothic Demi" w:eastAsia="方正小标宋_GBK" w:hAnsi="ITC Avant Garde Gothic Demi" w:cs="ITC Avant Garde Gothic Demi"/>
          <w:color w:val="920883"/>
          <w:kern w:val="0"/>
          <w:sz w:val="24"/>
          <w:szCs w:val="24"/>
        </w:rPr>
        <w:t>Effect of Upregulation of NICD on Proliferation and Migration of Human Periodontal Ligament Stem Cells</w:t>
      </w:r>
    </w:p>
    <w:p w:rsidR="00E06821" w:rsidRPr="00E06821" w:rsidRDefault="00E06821" w:rsidP="00E06821">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E06821">
        <w:rPr>
          <w:rFonts w:ascii="方正兰亭中黑_GBK" w:eastAsia="方正兰亭中黑_GBK" w:cs="方正兰亭中黑_GBK"/>
          <w:color w:val="000000"/>
          <w:kern w:val="0"/>
          <w:sz w:val="18"/>
          <w:szCs w:val="18"/>
        </w:rPr>
        <w:t>ZHANG Daling</w:t>
      </w:r>
      <w:r w:rsidRPr="00E06821">
        <w:rPr>
          <w:rFonts w:ascii="方正兰亭中黑_GBK" w:eastAsia="方正兰亭中黑_GBK" w:cs="方正兰亭中黑_GBK"/>
          <w:color w:val="000000"/>
          <w:kern w:val="0"/>
          <w:sz w:val="18"/>
          <w:szCs w:val="18"/>
          <w:vertAlign w:val="superscript"/>
        </w:rPr>
        <w:t>1</w:t>
      </w:r>
      <w:r w:rsidRPr="00E06821">
        <w:rPr>
          <w:rFonts w:ascii="方正兰亭中黑_GBK" w:eastAsia="方正兰亭中黑_GBK" w:cs="方正兰亭中黑_GBK"/>
          <w:color w:val="000000"/>
          <w:kern w:val="0"/>
          <w:sz w:val="18"/>
          <w:szCs w:val="18"/>
        </w:rPr>
        <w:t>,WANG Yuanyuan</w:t>
      </w:r>
      <w:r w:rsidRPr="00E06821">
        <w:rPr>
          <w:rFonts w:ascii="方正兰亭中黑_GBK" w:eastAsia="方正兰亭中黑_GBK" w:cs="方正兰亭中黑_GBK"/>
          <w:color w:val="000000"/>
          <w:kern w:val="0"/>
          <w:sz w:val="18"/>
          <w:szCs w:val="18"/>
          <w:vertAlign w:val="superscript"/>
        </w:rPr>
        <w:t>1</w:t>
      </w:r>
      <w:r w:rsidRPr="00E06821">
        <w:rPr>
          <w:rFonts w:ascii="方正兰亭中黑_GBK" w:eastAsia="方正兰亭中黑_GBK" w:cs="方正兰亭中黑_GBK"/>
          <w:color w:val="000000"/>
          <w:kern w:val="0"/>
          <w:sz w:val="18"/>
          <w:szCs w:val="18"/>
        </w:rPr>
        <w:t>,LIU Li</w:t>
      </w:r>
      <w:r w:rsidRPr="00E06821">
        <w:rPr>
          <w:rFonts w:ascii="方正兰亭中黑_GBK" w:eastAsia="方正兰亭中黑_GBK" w:cs="方正兰亭中黑_GBK"/>
          <w:color w:val="000000"/>
          <w:kern w:val="0"/>
          <w:sz w:val="18"/>
          <w:szCs w:val="18"/>
          <w:vertAlign w:val="superscript"/>
        </w:rPr>
        <w:t>2</w:t>
      </w:r>
      <w:r w:rsidRPr="00E06821">
        <w:rPr>
          <w:rFonts w:ascii="方正兰亭中黑_GBK" w:eastAsia="方正兰亭中黑_GBK" w:cs="方正兰亭中黑_GBK"/>
          <w:color w:val="000000"/>
          <w:kern w:val="0"/>
          <w:sz w:val="18"/>
          <w:szCs w:val="18"/>
        </w:rPr>
        <w:t>,ZHOU Yan</w:t>
      </w:r>
      <w:r w:rsidRPr="00E06821">
        <w:rPr>
          <w:rFonts w:ascii="方正兰亭中黑_GBK" w:eastAsia="方正兰亭中黑_GBK" w:cs="方正兰亭中黑_GBK"/>
          <w:color w:val="000000"/>
          <w:kern w:val="0"/>
          <w:sz w:val="18"/>
          <w:szCs w:val="18"/>
          <w:vertAlign w:val="superscript"/>
        </w:rPr>
        <w:t>1</w:t>
      </w:r>
      <w:r w:rsidRPr="00E06821">
        <w:rPr>
          <w:rFonts w:ascii="方正兰亭中黑_GBK" w:eastAsia="方正兰亭中黑_GBK" w:cs="方正兰亭中黑_GBK"/>
          <w:color w:val="000000"/>
          <w:kern w:val="0"/>
          <w:sz w:val="18"/>
          <w:szCs w:val="18"/>
        </w:rPr>
        <w:t>,LI Hua</w:t>
      </w:r>
      <w:r w:rsidRPr="00E06821">
        <w:rPr>
          <w:rFonts w:ascii="方正兰亭中黑_GBK" w:eastAsia="方正兰亭中黑_GBK" w:cs="方正兰亭中黑_GBK"/>
          <w:color w:val="000000"/>
          <w:kern w:val="0"/>
          <w:sz w:val="18"/>
          <w:szCs w:val="18"/>
          <w:vertAlign w:val="superscript"/>
        </w:rPr>
        <w:t>3</w:t>
      </w:r>
    </w:p>
    <w:p w:rsidR="00E06821" w:rsidRPr="00E06821" w:rsidRDefault="00E06821" w:rsidP="00E06821">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lang w:val="zh-CN"/>
        </w:rPr>
      </w:pPr>
      <w:r w:rsidRPr="00E06821">
        <w:rPr>
          <w:rFonts w:ascii="Times New Roman" w:eastAsia="方正小标宋_GBK" w:hAnsi="Times New Roman" w:cs="Times New Roman"/>
          <w:color w:val="000000"/>
          <w:kern w:val="0"/>
          <w:sz w:val="19"/>
          <w:szCs w:val="19"/>
          <w:lang w:val="zh-CN"/>
        </w:rPr>
        <w:t>(1.Department of Orthodontics,People's Hospital of Guangxi Zhuang Autonomous Region,Nanning 530021,Guangxi,China;</w:t>
      </w:r>
    </w:p>
    <w:p w:rsidR="00E06821" w:rsidRPr="00E06821" w:rsidRDefault="00E06821" w:rsidP="00E06821">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E06821">
        <w:rPr>
          <w:rFonts w:ascii="Times New Roman" w:eastAsia="方正小标宋_GBK" w:hAnsi="Times New Roman" w:cs="Times New Roman"/>
          <w:color w:val="000000"/>
          <w:kern w:val="0"/>
          <w:sz w:val="19"/>
          <w:szCs w:val="19"/>
        </w:rPr>
        <w:t>2.Department of Stomatology,Affiliated Stomatological Hospital of Guilin Medical University,Guilin 541000,Guangxi,China;</w:t>
      </w:r>
    </w:p>
    <w:p w:rsidR="00E06821" w:rsidRPr="00E06821" w:rsidRDefault="00E06821" w:rsidP="00E06821">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E06821">
        <w:rPr>
          <w:rFonts w:ascii="Times New Roman" w:eastAsia="方正小标宋_GBK" w:hAnsi="Times New Roman" w:cs="Times New Roman"/>
          <w:color w:val="000000"/>
          <w:kern w:val="0"/>
          <w:sz w:val="19"/>
          <w:szCs w:val="19"/>
        </w:rPr>
        <w:t>3.Department of Oral and Maxillofacial Surgery,Hospital of Stomatology,Guangxi Medical University,Nanning 530021,Guangxi,China)</w:t>
      </w:r>
    </w:p>
    <w:p w:rsidR="00E06821" w:rsidRPr="00E06821" w:rsidRDefault="00E06821" w:rsidP="00E06821">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rsidR="00E06821" w:rsidRPr="00E06821" w:rsidRDefault="00E06821" w:rsidP="00E06821">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E06821">
        <w:rPr>
          <w:rFonts w:ascii="Didot HTF-B06-" w:eastAsia="方正小标宋_GBK" w:hAnsi="Didot HTF-B06-" w:cs="Didot HTF-B06-"/>
          <w:b/>
          <w:bCs/>
          <w:color w:val="000000"/>
          <w:kern w:val="0"/>
          <w:sz w:val="19"/>
        </w:rPr>
        <w:t>Abstract: Objective</w:t>
      </w:r>
      <w:r w:rsidRPr="00E06821">
        <w:rPr>
          <w:rFonts w:ascii="Times New Roman" w:eastAsia="方正小标宋_GBK" w:hAnsi="Times New Roman" w:cs="Times New Roman"/>
          <w:color w:val="000000"/>
          <w:kern w:val="0"/>
          <w:sz w:val="19"/>
          <w:szCs w:val="19"/>
        </w:rPr>
        <w:t xml:space="preserve">  To investigate the effect of up regulating Notch intracellular domain (NICD) on the proliferation and migration of human periodontal ligament stem cells. </w:t>
      </w:r>
      <w:r w:rsidRPr="00E06821">
        <w:rPr>
          <w:rFonts w:ascii="Didot HTF-B06-" w:eastAsia="方正小标宋_GBK" w:hAnsi="Didot HTF-B06-" w:cs="Didot HTF-B06-"/>
          <w:b/>
          <w:bCs/>
          <w:color w:val="000000"/>
          <w:kern w:val="0"/>
          <w:sz w:val="19"/>
        </w:rPr>
        <w:t xml:space="preserve">Methods </w:t>
      </w:r>
      <w:r w:rsidRPr="00E06821">
        <w:rPr>
          <w:rFonts w:ascii="Times New Roman" w:eastAsia="方正小标宋_GBK" w:hAnsi="Times New Roman" w:cs="Times New Roman"/>
          <w:color w:val="000000"/>
          <w:kern w:val="0"/>
          <w:sz w:val="19"/>
          <w:szCs w:val="19"/>
        </w:rPr>
        <w:t xml:space="preserve"> NICD cells were divided into the up regulation group, the control group and the blank group. MTT colorimetry was used to detect cell proliferation, flow cytometry was used to detect cell apoptosis, cell migration was detected by cell scratch test, and the expression of Wnt/</w:t>
      </w:r>
      <w:r w:rsidRPr="00E06821">
        <w:rPr>
          <w:rFonts w:ascii="Times New Roman" w:eastAsia="方正小标宋_GBK" w:hAnsi="Times New Roman" w:cs="Times New Roman"/>
          <w:color w:val="000000"/>
          <w:kern w:val="0"/>
          <w:sz w:val="19"/>
          <w:szCs w:val="19"/>
          <w:lang w:val="zh-CN"/>
        </w:rPr>
        <w:t>β</w:t>
      </w:r>
      <w:r w:rsidRPr="00E06821">
        <w:rPr>
          <w:rFonts w:ascii="Times New Roman" w:eastAsia="方正小标宋_GBK" w:hAnsi="Times New Roman" w:cs="Times New Roman"/>
          <w:color w:val="000000"/>
          <w:kern w:val="0"/>
          <w:sz w:val="19"/>
          <w:szCs w:val="19"/>
        </w:rPr>
        <w:t>-catenin signaling pathway protein in human periodontal ligament</w:t>
      </w:r>
      <w:r w:rsidRPr="00E06821">
        <w:rPr>
          <w:rFonts w:ascii="Times New Roman" w:eastAsia="方正小标宋_GBK" w:hAnsi="Times New Roman" w:cs="Times New Roman"/>
          <w:color w:val="000000"/>
          <w:spacing w:val="-4"/>
          <w:kern w:val="0"/>
          <w:sz w:val="19"/>
          <w:szCs w:val="19"/>
        </w:rPr>
        <w:t xml:space="preserve"> stem cells was detected by Western blot (TGF-</w:t>
      </w:r>
      <w:r w:rsidRPr="00E06821">
        <w:rPr>
          <w:rFonts w:ascii="Times New Roman" w:eastAsia="方正小标宋_GBK" w:hAnsi="Times New Roman" w:cs="Times New Roman"/>
          <w:color w:val="000000"/>
          <w:spacing w:val="-4"/>
          <w:kern w:val="0"/>
          <w:sz w:val="19"/>
          <w:szCs w:val="19"/>
          <w:lang w:val="zh-CN"/>
        </w:rPr>
        <w:t>β</w:t>
      </w:r>
      <w:r w:rsidRPr="00E06821">
        <w:rPr>
          <w:rFonts w:ascii="宋体" w:eastAsia="宋体" w:hAnsi="Times New Roman" w:cs="宋体" w:hint="eastAsia"/>
          <w:color w:val="000000"/>
          <w:spacing w:val="-4"/>
          <w:kern w:val="0"/>
          <w:sz w:val="19"/>
          <w:szCs w:val="19"/>
          <w:lang w:val="zh-CN"/>
        </w:rPr>
        <w:t>、</w:t>
      </w:r>
      <w:r w:rsidRPr="00E06821">
        <w:rPr>
          <w:rFonts w:ascii="Times New Roman" w:eastAsia="方正小标宋_GBK" w:hAnsi="Times New Roman" w:cs="Times New Roman"/>
          <w:color w:val="000000"/>
          <w:spacing w:val="-4"/>
          <w:kern w:val="0"/>
          <w:sz w:val="19"/>
          <w:szCs w:val="19"/>
        </w:rPr>
        <w:t xml:space="preserve">BMP-2, </w:t>
      </w:r>
      <w:r w:rsidRPr="00E06821">
        <w:rPr>
          <w:rFonts w:ascii="Times New Roman" w:eastAsia="方正小标宋_GBK" w:hAnsi="Times New Roman" w:cs="Times New Roman"/>
          <w:color w:val="000000"/>
          <w:spacing w:val="-4"/>
          <w:kern w:val="0"/>
          <w:sz w:val="19"/>
          <w:szCs w:val="19"/>
          <w:lang w:val="zh-CN"/>
        </w:rPr>
        <w:t>β</w:t>
      </w:r>
      <w:r w:rsidRPr="00E06821">
        <w:rPr>
          <w:rFonts w:ascii="Times New Roman" w:eastAsia="方正小标宋_GBK" w:hAnsi="Times New Roman" w:cs="Times New Roman"/>
          <w:color w:val="000000"/>
          <w:spacing w:val="-4"/>
          <w:kern w:val="0"/>
          <w:sz w:val="19"/>
          <w:szCs w:val="19"/>
        </w:rPr>
        <w:t xml:space="preserve">-caten, LEF-1, Cyclin D1, Caspase-3, Bax, Bcl-2). </w:t>
      </w:r>
      <w:r w:rsidRPr="00E06821">
        <w:rPr>
          <w:rFonts w:ascii="Didot HTF-B06-" w:eastAsia="方正小标宋_GBK" w:hAnsi="Didot HTF-B06-" w:cs="Didot HTF-B06-"/>
          <w:b/>
          <w:bCs/>
          <w:color w:val="000000"/>
          <w:spacing w:val="-4"/>
          <w:kern w:val="0"/>
          <w:sz w:val="19"/>
        </w:rPr>
        <w:t>Results</w:t>
      </w:r>
      <w:r w:rsidRPr="00E06821">
        <w:rPr>
          <w:rFonts w:ascii="Times New Roman" w:eastAsia="方正小标宋_GBK" w:hAnsi="Times New Roman" w:cs="Times New Roman"/>
          <w:color w:val="000000"/>
          <w:spacing w:val="-4"/>
          <w:kern w:val="0"/>
          <w:sz w:val="19"/>
          <w:szCs w:val="19"/>
        </w:rPr>
        <w:t xml:space="preserve">  The proliferation rate, alkaline phosphatase activity, migration, number of adhesion and TGF-</w:t>
      </w:r>
      <w:r w:rsidRPr="00E06821">
        <w:rPr>
          <w:rFonts w:ascii="Times New Roman" w:eastAsia="方正小标宋_GBK" w:hAnsi="Times New Roman" w:cs="Times New Roman"/>
          <w:color w:val="000000"/>
          <w:spacing w:val="-4"/>
          <w:kern w:val="0"/>
          <w:sz w:val="19"/>
          <w:szCs w:val="19"/>
          <w:lang w:val="zh-CN"/>
        </w:rPr>
        <w:t>β</w:t>
      </w:r>
      <w:r w:rsidRPr="00E06821">
        <w:rPr>
          <w:rFonts w:ascii="Times New Roman" w:eastAsia="方正小标宋_GBK" w:hAnsi="Times New Roman" w:cs="Times New Roman"/>
          <w:color w:val="000000"/>
          <w:spacing w:val="-4"/>
          <w:kern w:val="0"/>
          <w:sz w:val="19"/>
          <w:szCs w:val="19"/>
        </w:rPr>
        <w:t xml:space="preserve">, BMP-2, </w:t>
      </w:r>
      <w:r w:rsidRPr="00E06821">
        <w:rPr>
          <w:rFonts w:ascii="Times New Roman" w:eastAsia="方正小标宋_GBK" w:hAnsi="Times New Roman" w:cs="Times New Roman"/>
          <w:color w:val="000000"/>
          <w:spacing w:val="-4"/>
          <w:kern w:val="0"/>
          <w:sz w:val="19"/>
          <w:szCs w:val="19"/>
          <w:lang w:val="zh-CN"/>
        </w:rPr>
        <w:t>β</w:t>
      </w:r>
      <w:r w:rsidRPr="00E06821">
        <w:rPr>
          <w:rFonts w:ascii="Times New Roman" w:eastAsia="方正小标宋_GBK" w:hAnsi="Times New Roman" w:cs="Times New Roman"/>
          <w:color w:val="000000"/>
          <w:spacing w:val="-4"/>
          <w:kern w:val="0"/>
          <w:sz w:val="19"/>
          <w:szCs w:val="19"/>
        </w:rPr>
        <w:t>-caten, LEF-1, Cyclin D1, Bcl-2 protein expression of human periodontal ligament stem cells in the control group at each time point were lower than those in the blank group, and the apoptosis rate, the expression of Caspase-3 and Bax protein in the blank group were higher than those in the blank group, the differences were statistically significant (P</w:t>
      </w:r>
      <w:r w:rsidRPr="00E06821">
        <w:rPr>
          <w:rFonts w:ascii="宋体" w:eastAsia="宋体" w:hAnsi="Times New Roman" w:cs="宋体" w:hint="eastAsia"/>
          <w:color w:val="000000"/>
          <w:spacing w:val="-4"/>
          <w:kern w:val="0"/>
          <w:sz w:val="19"/>
          <w:szCs w:val="19"/>
        </w:rPr>
        <w:t>＜</w:t>
      </w:r>
      <w:r w:rsidRPr="00E06821">
        <w:rPr>
          <w:rFonts w:ascii="Times New Roman" w:eastAsia="方正小标宋_GBK" w:hAnsi="Times New Roman" w:cs="Times New Roman"/>
          <w:color w:val="000000"/>
          <w:spacing w:val="-4"/>
          <w:kern w:val="0"/>
          <w:sz w:val="19"/>
          <w:szCs w:val="19"/>
        </w:rPr>
        <w:t>0.05). The proliferation rate, alkaline phosphatase activity, migration, number of adhesion and TGF-</w:t>
      </w:r>
      <w:r w:rsidRPr="00E06821">
        <w:rPr>
          <w:rFonts w:ascii="Times New Roman" w:eastAsia="方正小标宋_GBK" w:hAnsi="Times New Roman" w:cs="Times New Roman"/>
          <w:color w:val="000000"/>
          <w:spacing w:val="-4"/>
          <w:kern w:val="0"/>
          <w:sz w:val="19"/>
          <w:szCs w:val="19"/>
          <w:lang w:val="zh-CN"/>
        </w:rPr>
        <w:t>β</w:t>
      </w:r>
      <w:r w:rsidRPr="00E06821">
        <w:rPr>
          <w:rFonts w:ascii="Times New Roman" w:eastAsia="方正小标宋_GBK" w:hAnsi="Times New Roman" w:cs="Times New Roman"/>
          <w:color w:val="000000"/>
          <w:spacing w:val="-4"/>
          <w:kern w:val="0"/>
          <w:sz w:val="19"/>
          <w:szCs w:val="19"/>
        </w:rPr>
        <w:t xml:space="preserve">, BMP-2, </w:t>
      </w:r>
      <w:r w:rsidRPr="00E06821">
        <w:rPr>
          <w:rFonts w:ascii="Times New Roman" w:eastAsia="方正小标宋_GBK" w:hAnsi="Times New Roman" w:cs="Times New Roman"/>
          <w:color w:val="000000"/>
          <w:spacing w:val="-4"/>
          <w:kern w:val="0"/>
          <w:sz w:val="19"/>
          <w:szCs w:val="19"/>
          <w:lang w:val="zh-CN"/>
        </w:rPr>
        <w:t>β</w:t>
      </w:r>
      <w:r w:rsidRPr="00E06821">
        <w:rPr>
          <w:rFonts w:ascii="Times New Roman" w:eastAsia="方正小标宋_GBK" w:hAnsi="Times New Roman" w:cs="Times New Roman"/>
          <w:color w:val="000000"/>
          <w:spacing w:val="-4"/>
          <w:kern w:val="0"/>
          <w:sz w:val="19"/>
          <w:szCs w:val="19"/>
        </w:rPr>
        <w:t>-caten, LEF-1, Cyclin D1, Bcl-2 protein expression of human periodontal ligament stem cells in the up regulation group at each time point were higher than those in the blank group and the control group (P</w:t>
      </w:r>
      <w:r w:rsidRPr="00E06821">
        <w:rPr>
          <w:rFonts w:ascii="宋体" w:eastAsia="宋体" w:hAnsi="Times New Roman" w:cs="宋体" w:hint="eastAsia"/>
          <w:color w:val="000000"/>
          <w:spacing w:val="-4"/>
          <w:kern w:val="0"/>
          <w:sz w:val="19"/>
          <w:szCs w:val="19"/>
        </w:rPr>
        <w:t>＜</w:t>
      </w:r>
      <w:r w:rsidRPr="00E06821">
        <w:rPr>
          <w:rFonts w:ascii="Times New Roman" w:eastAsia="方正小标宋_GBK" w:hAnsi="Times New Roman" w:cs="Times New Roman"/>
          <w:color w:val="000000"/>
          <w:spacing w:val="-4"/>
          <w:kern w:val="0"/>
          <w:sz w:val="19"/>
          <w:szCs w:val="19"/>
        </w:rPr>
        <w:t>0.05). The apoptosis rate, the expression of Caspase-3 and Bax protein in the up regulation group were lower than those in the blank group and the control group (P</w:t>
      </w:r>
      <w:r w:rsidRPr="00E06821">
        <w:rPr>
          <w:rFonts w:ascii="宋体" w:eastAsia="宋体" w:hAnsi="Times New Roman" w:cs="宋体" w:hint="eastAsia"/>
          <w:color w:val="000000"/>
          <w:spacing w:val="-4"/>
          <w:kern w:val="0"/>
          <w:sz w:val="19"/>
          <w:szCs w:val="19"/>
        </w:rPr>
        <w:t>＜</w:t>
      </w:r>
      <w:r w:rsidRPr="00E06821">
        <w:rPr>
          <w:rFonts w:ascii="Times New Roman" w:eastAsia="方正小标宋_GBK" w:hAnsi="Times New Roman" w:cs="Times New Roman"/>
          <w:color w:val="000000"/>
          <w:spacing w:val="-4"/>
          <w:kern w:val="0"/>
          <w:sz w:val="19"/>
          <w:szCs w:val="19"/>
        </w:rPr>
        <w:t xml:space="preserve">0.05). </w:t>
      </w:r>
      <w:r w:rsidRPr="00E06821">
        <w:rPr>
          <w:rFonts w:ascii="Didot HTF-B06-" w:eastAsia="方正小标宋_GBK" w:hAnsi="Didot HTF-B06-" w:cs="Didot HTF-B06-"/>
          <w:b/>
          <w:bCs/>
          <w:color w:val="000000"/>
          <w:spacing w:val="-4"/>
          <w:kern w:val="0"/>
          <w:sz w:val="19"/>
        </w:rPr>
        <w:t>Conclusion</w:t>
      </w:r>
      <w:r w:rsidRPr="00E06821">
        <w:rPr>
          <w:rFonts w:ascii="Times New Roman" w:eastAsia="方正小标宋_GBK" w:hAnsi="Times New Roman" w:cs="Times New Roman"/>
          <w:color w:val="000000"/>
          <w:spacing w:val="-4"/>
          <w:kern w:val="0"/>
          <w:sz w:val="19"/>
          <w:szCs w:val="19"/>
        </w:rPr>
        <w:t xml:space="preserve">  Upregulation of NICD gene can promote the proliferation and migration of human periodontal ligament stem cells, and its mechanism may be related to Wnt/</w:t>
      </w:r>
      <w:r w:rsidRPr="00E06821">
        <w:rPr>
          <w:rFonts w:ascii="Times New Roman" w:eastAsia="方正小标宋_GBK" w:hAnsi="Times New Roman" w:cs="Times New Roman"/>
          <w:color w:val="000000"/>
          <w:spacing w:val="-4"/>
          <w:kern w:val="0"/>
          <w:sz w:val="19"/>
          <w:szCs w:val="19"/>
          <w:lang w:val="zh-CN"/>
        </w:rPr>
        <w:t>β</w:t>
      </w:r>
      <w:r w:rsidRPr="00E06821">
        <w:rPr>
          <w:rFonts w:ascii="Times New Roman" w:eastAsia="方正小标宋_GBK" w:hAnsi="Times New Roman" w:cs="Times New Roman"/>
          <w:color w:val="000000"/>
          <w:spacing w:val="-4"/>
          <w:kern w:val="0"/>
          <w:sz w:val="19"/>
          <w:szCs w:val="19"/>
        </w:rPr>
        <w:t>-catenin pathway.</w:t>
      </w:r>
    </w:p>
    <w:p w:rsidR="00E06821" w:rsidRPr="00E06821" w:rsidRDefault="00E06821" w:rsidP="00E06821">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E06821">
        <w:rPr>
          <w:rFonts w:ascii="Didot HTF-B06-" w:eastAsia="方正小标宋_GBK" w:hAnsi="Didot HTF-B06-" w:cs="Didot HTF-B06-"/>
          <w:b/>
          <w:bCs/>
          <w:color w:val="000000"/>
          <w:kern w:val="0"/>
          <w:sz w:val="19"/>
        </w:rPr>
        <w:t>Key words:</w:t>
      </w:r>
      <w:r w:rsidRPr="00E06821">
        <w:rPr>
          <w:rFonts w:ascii="Times New Roman" w:eastAsia="方正小标宋_GBK" w:hAnsi="Times New Roman" w:cs="Times New Roman"/>
          <w:color w:val="000000"/>
          <w:kern w:val="0"/>
          <w:sz w:val="19"/>
          <w:szCs w:val="19"/>
        </w:rPr>
        <w:t xml:space="preserve"> </w:t>
      </w:r>
      <w:r w:rsidRPr="00E06821">
        <w:rPr>
          <w:rFonts w:ascii="Times New Roman" w:eastAsia="方正小标宋_GBK" w:hAnsi="Times New Roman" w:cs="Times New Roman"/>
          <w:color w:val="000000"/>
          <w:spacing w:val="-8"/>
          <w:kern w:val="0"/>
          <w:sz w:val="19"/>
          <w:szCs w:val="19"/>
        </w:rPr>
        <w:t>Notch intracellular domain</w:t>
      </w:r>
      <w:r w:rsidRPr="00E06821">
        <w:rPr>
          <w:rFonts w:ascii="宋体" w:eastAsia="宋体" w:hAnsi="Times New Roman" w:cs="宋体"/>
          <w:color w:val="000000"/>
          <w:spacing w:val="-8"/>
          <w:kern w:val="0"/>
          <w:sz w:val="19"/>
          <w:szCs w:val="19"/>
        </w:rPr>
        <w:t>;</w:t>
      </w:r>
      <w:r w:rsidRPr="00E06821">
        <w:rPr>
          <w:rFonts w:ascii="Times New Roman" w:eastAsia="方正小标宋_GBK" w:hAnsi="Times New Roman" w:cs="Times New Roman"/>
          <w:color w:val="000000"/>
          <w:spacing w:val="-8"/>
          <w:kern w:val="0"/>
          <w:sz w:val="19"/>
          <w:szCs w:val="19"/>
        </w:rPr>
        <w:t>human periodontal ligament stem cells; proliferation; apoptosis; migration; signaling pathways</w:t>
      </w:r>
    </w:p>
    <w:p w:rsidR="00392B23" w:rsidRPr="00E06821" w:rsidRDefault="00392B23" w:rsidP="00E06821"/>
    <w:sectPr w:rsidR="00392B23" w:rsidRPr="00E06821" w:rsidSect="00AA1F1D">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451C" w:rsidRDefault="0011451C" w:rsidP="00E172F8">
      <w:r>
        <w:separator/>
      </w:r>
    </w:p>
  </w:endnote>
  <w:endnote w:type="continuationSeparator" w:id="0">
    <w:p w:rsidR="0011451C" w:rsidRDefault="0011451C"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451C" w:rsidRDefault="0011451C" w:rsidP="00E172F8">
      <w:r>
        <w:separator/>
      </w:r>
    </w:p>
  </w:footnote>
  <w:footnote w:type="continuationSeparator" w:id="0">
    <w:p w:rsidR="0011451C" w:rsidRDefault="0011451C"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150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9744A"/>
    <w:rsid w:val="000A09ED"/>
    <w:rsid w:val="000B0FC9"/>
    <w:rsid w:val="000D1F46"/>
    <w:rsid w:val="000E7F96"/>
    <w:rsid w:val="0011451C"/>
    <w:rsid w:val="0014482C"/>
    <w:rsid w:val="00181C4C"/>
    <w:rsid w:val="001C4414"/>
    <w:rsid w:val="001D07C9"/>
    <w:rsid w:val="001D5A57"/>
    <w:rsid w:val="00240761"/>
    <w:rsid w:val="00267531"/>
    <w:rsid w:val="00276603"/>
    <w:rsid w:val="00277B52"/>
    <w:rsid w:val="00284A2C"/>
    <w:rsid w:val="0029663D"/>
    <w:rsid w:val="002C3C2E"/>
    <w:rsid w:val="00386229"/>
    <w:rsid w:val="00392B23"/>
    <w:rsid w:val="003A6FBB"/>
    <w:rsid w:val="003C1421"/>
    <w:rsid w:val="003C3A27"/>
    <w:rsid w:val="003C612F"/>
    <w:rsid w:val="004028F3"/>
    <w:rsid w:val="0041270F"/>
    <w:rsid w:val="00455160"/>
    <w:rsid w:val="00497DE0"/>
    <w:rsid w:val="004A6544"/>
    <w:rsid w:val="004A7BC1"/>
    <w:rsid w:val="005147FF"/>
    <w:rsid w:val="00555859"/>
    <w:rsid w:val="005C657E"/>
    <w:rsid w:val="005E4934"/>
    <w:rsid w:val="005F513F"/>
    <w:rsid w:val="006236E2"/>
    <w:rsid w:val="00661A0F"/>
    <w:rsid w:val="00687870"/>
    <w:rsid w:val="006D3B77"/>
    <w:rsid w:val="006D446A"/>
    <w:rsid w:val="007B6A4D"/>
    <w:rsid w:val="007C2FD9"/>
    <w:rsid w:val="007E4364"/>
    <w:rsid w:val="008749F3"/>
    <w:rsid w:val="008C78FD"/>
    <w:rsid w:val="008D029A"/>
    <w:rsid w:val="008E4876"/>
    <w:rsid w:val="0093010C"/>
    <w:rsid w:val="009456A7"/>
    <w:rsid w:val="0098006E"/>
    <w:rsid w:val="009A4D93"/>
    <w:rsid w:val="009F7A00"/>
    <w:rsid w:val="00A57CFA"/>
    <w:rsid w:val="00A772FA"/>
    <w:rsid w:val="00AA043F"/>
    <w:rsid w:val="00AA20A5"/>
    <w:rsid w:val="00AA37C6"/>
    <w:rsid w:val="00AE0425"/>
    <w:rsid w:val="00AF1728"/>
    <w:rsid w:val="00B013FB"/>
    <w:rsid w:val="00B12716"/>
    <w:rsid w:val="00B5578A"/>
    <w:rsid w:val="00B879AA"/>
    <w:rsid w:val="00BD0866"/>
    <w:rsid w:val="00C017CF"/>
    <w:rsid w:val="00C64F57"/>
    <w:rsid w:val="00C851CA"/>
    <w:rsid w:val="00CA391F"/>
    <w:rsid w:val="00CA3EA1"/>
    <w:rsid w:val="00CD0A61"/>
    <w:rsid w:val="00D25704"/>
    <w:rsid w:val="00D52EFA"/>
    <w:rsid w:val="00D777F9"/>
    <w:rsid w:val="00DC05D5"/>
    <w:rsid w:val="00DD5A8C"/>
    <w:rsid w:val="00DF0FF2"/>
    <w:rsid w:val="00E06821"/>
    <w:rsid w:val="00E172F8"/>
    <w:rsid w:val="00E87F3B"/>
    <w:rsid w:val="00EB474A"/>
    <w:rsid w:val="00EF4574"/>
    <w:rsid w:val="00F122B2"/>
    <w:rsid w:val="00F4563C"/>
    <w:rsid w:val="00F5463E"/>
    <w:rsid w:val="00F72939"/>
    <w:rsid w:val="00FA60D6"/>
    <w:rsid w:val="00FD1D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e">
    <w:name w:val="[无段落样式]"/>
    <w:rsid w:val="000E7F96"/>
    <w:pPr>
      <w:widowControl w:val="0"/>
      <w:autoSpaceDE w:val="0"/>
      <w:autoSpaceDN w:val="0"/>
      <w:adjustRightInd w:val="0"/>
      <w:spacing w:line="288" w:lineRule="auto"/>
      <w:jc w:val="both"/>
      <w:textAlignment w:val="center"/>
    </w:pPr>
    <w:rPr>
      <w:rFonts w:ascii="宋体" w:eastAsia="宋体" w:cs="宋体"/>
      <w:color w:val="000000"/>
      <w:kern w:val="0"/>
      <w:sz w:val="24"/>
      <w:szCs w:val="24"/>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1</Pages>
  <Words>485</Words>
  <Characters>2768</Characters>
  <Application>Microsoft Office Word</Application>
  <DocSecurity>0</DocSecurity>
  <Lines>23</Lines>
  <Paragraphs>6</Paragraphs>
  <ScaleCrop>false</ScaleCrop>
  <Company>Microsoft</Company>
  <LinksUpToDate>false</LinksUpToDate>
  <CharactersWithSpaces>3247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69</cp:revision>
  <dcterms:created xsi:type="dcterms:W3CDTF">2022-01-17T03:25:00Z</dcterms:created>
  <dcterms:modified xsi:type="dcterms:W3CDTF">2022-02-10T09:24:00Z</dcterms:modified>
</cp:coreProperties>
</file>