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08164" w14:textId="77777777" w:rsidR="0040017D" w:rsidRDefault="0040017D" w:rsidP="0040017D">
      <w:pPr>
        <w:pStyle w:val="a3"/>
        <w:ind w:firstLine="0"/>
        <w:jc w:val="center"/>
        <w:rPr>
          <w:rFonts w:ascii="方正小标宋_GBK" w:eastAsia="方正小标宋_GBK" w:cs="方正小标宋_GBK"/>
          <w:color w:val="920883"/>
          <w:sz w:val="30"/>
          <w:szCs w:val="30"/>
        </w:rPr>
      </w:pPr>
      <w:r>
        <w:rPr>
          <w:rFonts w:ascii="方正小标宋_GBK" w:eastAsia="方正小标宋_GBK" w:cs="方正小标宋_GBK" w:hint="eastAsia"/>
          <w:color w:val="920883"/>
          <w:sz w:val="30"/>
          <w:szCs w:val="30"/>
        </w:rPr>
        <w:t>含神经酰胺的保湿剂改善皮肤干燥的功效和安全性研究</w:t>
      </w:r>
    </w:p>
    <w:p w14:paraId="2F40C4DA" w14:textId="77777777" w:rsidR="0040017D" w:rsidRDefault="0040017D" w:rsidP="0040017D">
      <w:pPr>
        <w:pStyle w:val="a3"/>
        <w:ind w:firstLine="0"/>
        <w:jc w:val="center"/>
        <w:rPr>
          <w:rFonts w:ascii="方正楷体_GBK" w:eastAsia="方正楷体_GBK" w:cs="方正楷体_GBK"/>
          <w:sz w:val="24"/>
          <w:szCs w:val="24"/>
        </w:rPr>
      </w:pPr>
      <w:r>
        <w:rPr>
          <w:rFonts w:ascii="方正楷体_GBK" w:eastAsia="方正楷体_GBK" w:cs="方正楷体_GBK" w:hint="eastAsia"/>
          <w:sz w:val="24"/>
          <w:szCs w:val="24"/>
        </w:rPr>
        <w:t>赖彦云</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，陶思睿</w:t>
      </w:r>
      <w:r>
        <w:rPr>
          <w:rFonts w:ascii="方正楷体_GBK" w:eastAsia="方正楷体_GBK" w:cs="方正楷体_GBK"/>
          <w:sz w:val="24"/>
          <w:szCs w:val="24"/>
          <w:vertAlign w:val="superscript"/>
        </w:rPr>
        <w:t>1,2</w:t>
      </w:r>
      <w:r>
        <w:rPr>
          <w:rFonts w:ascii="方正楷体_GBK" w:eastAsia="方正楷体_GBK" w:cs="方正楷体_GBK" w:hint="eastAsia"/>
          <w:sz w:val="24"/>
          <w:szCs w:val="24"/>
        </w:rPr>
        <w:t>，杨</w:t>
      </w:r>
      <w:r>
        <w:rPr>
          <w:rFonts w:ascii="方正楷体_GBK" w:eastAsia="方正楷体_GBK" w:cs="方正楷体_GBK"/>
          <w:sz w:val="24"/>
          <w:szCs w:val="24"/>
        </w:rPr>
        <w:t xml:space="preserve"> </w:t>
      </w:r>
      <w:r>
        <w:rPr>
          <w:rFonts w:ascii="方正楷体_GBK" w:eastAsia="方正楷体_GBK" w:cs="方正楷体_GBK" w:hint="eastAsia"/>
          <w:sz w:val="24"/>
          <w:szCs w:val="24"/>
        </w:rPr>
        <w:t>莉</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，沈</w:t>
      </w:r>
      <w:r>
        <w:rPr>
          <w:rFonts w:ascii="方正楷体_GBK" w:eastAsia="方正楷体_GBK" w:cs="方正楷体_GBK"/>
          <w:sz w:val="24"/>
          <w:szCs w:val="24"/>
        </w:rPr>
        <w:t xml:space="preserve"> </w:t>
      </w:r>
      <w:r>
        <w:rPr>
          <w:rFonts w:ascii="方正楷体_GBK" w:eastAsia="方正楷体_GBK" w:cs="方正楷体_GBK" w:hint="eastAsia"/>
          <w:sz w:val="24"/>
          <w:szCs w:val="24"/>
        </w:rPr>
        <w:t>重</w:t>
      </w:r>
      <w:r>
        <w:rPr>
          <w:rFonts w:ascii="方正楷体_GBK" w:eastAsia="方正楷体_GBK" w:cs="方正楷体_GBK"/>
          <w:sz w:val="24"/>
          <w:szCs w:val="24"/>
          <w:vertAlign w:val="superscript"/>
        </w:rPr>
        <w:t>3</w:t>
      </w:r>
      <w:r>
        <w:rPr>
          <w:rFonts w:ascii="方正楷体_GBK" w:eastAsia="方正楷体_GBK" w:cs="方正楷体_GBK" w:hint="eastAsia"/>
          <w:sz w:val="24"/>
          <w:szCs w:val="24"/>
        </w:rPr>
        <w:t>，张中兴</w:t>
      </w:r>
      <w:r>
        <w:rPr>
          <w:rFonts w:ascii="方正楷体_GBK" w:eastAsia="方正楷体_GBK" w:cs="方正楷体_GBK"/>
          <w:sz w:val="24"/>
          <w:szCs w:val="24"/>
          <w:vertAlign w:val="superscript"/>
        </w:rPr>
        <w:t>3</w:t>
      </w:r>
      <w:r>
        <w:rPr>
          <w:rFonts w:ascii="方正楷体_GBK" w:eastAsia="方正楷体_GBK" w:cs="方正楷体_GBK" w:hint="eastAsia"/>
          <w:sz w:val="24"/>
          <w:szCs w:val="24"/>
        </w:rPr>
        <w:t>，仲少敏</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，吴</w:t>
      </w:r>
      <w:r>
        <w:rPr>
          <w:rFonts w:ascii="方正楷体_GBK" w:eastAsia="方正楷体_GBK" w:cs="方正楷体_GBK"/>
          <w:sz w:val="24"/>
          <w:szCs w:val="24"/>
        </w:rPr>
        <w:t xml:space="preserve"> </w:t>
      </w:r>
      <w:r>
        <w:rPr>
          <w:rFonts w:ascii="方正楷体_GBK" w:eastAsia="方正楷体_GBK" w:cs="方正楷体_GBK" w:hint="eastAsia"/>
          <w:sz w:val="24"/>
          <w:szCs w:val="24"/>
        </w:rPr>
        <w:t>艳</w:t>
      </w:r>
      <w:r>
        <w:rPr>
          <w:rFonts w:ascii="方正楷体_GBK" w:eastAsia="方正楷体_GBK" w:cs="方正楷体_GBK"/>
          <w:sz w:val="24"/>
          <w:szCs w:val="24"/>
          <w:vertAlign w:val="superscript"/>
        </w:rPr>
        <w:t>1</w:t>
      </w:r>
    </w:p>
    <w:p w14:paraId="62CCABC5" w14:textId="77777777" w:rsidR="0040017D" w:rsidRDefault="0040017D" w:rsidP="0040017D">
      <w:pPr>
        <w:pStyle w:val="a3"/>
        <w:ind w:firstLine="0"/>
        <w:jc w:val="center"/>
        <w:rPr>
          <w:rFonts w:ascii="楷体_GB2312" w:eastAsia="楷体_GB2312" w:cs="楷体_GB2312"/>
        </w:rPr>
      </w:pPr>
      <w:r>
        <w:rPr>
          <w:rFonts w:ascii="方正楷体_GBK" w:eastAsia="方正楷体_GBK" w:cs="方正楷体_GBK"/>
        </w:rPr>
        <w:t>[1.</w:t>
      </w:r>
      <w:r>
        <w:rPr>
          <w:rFonts w:ascii="方正楷体_GBK" w:eastAsia="方正楷体_GBK" w:cs="方正楷体_GBK" w:hint="eastAsia"/>
        </w:rPr>
        <w:t>北京大学第一医院皮肤科</w:t>
      </w:r>
      <w:r>
        <w:rPr>
          <w:rFonts w:ascii="方正楷体_GBK" w:eastAsia="方正楷体_GBK" w:cs="方正楷体_GBK"/>
        </w:rPr>
        <w:t xml:space="preserve"> </w:t>
      </w:r>
      <w:r>
        <w:rPr>
          <w:rFonts w:ascii="方正楷体_GBK" w:eastAsia="方正楷体_GBK" w:cs="方正楷体_GBK" w:hint="eastAsia"/>
        </w:rPr>
        <w:t>北京市皮肤病分子诊断重点实验室</w:t>
      </w:r>
      <w:r>
        <w:rPr>
          <w:rFonts w:ascii="方正楷体_GBK" w:eastAsia="方正楷体_GBK" w:cs="方正楷体_GBK"/>
        </w:rPr>
        <w:t xml:space="preserve"> </w:t>
      </w:r>
      <w:r>
        <w:rPr>
          <w:rFonts w:ascii="方正楷体_GBK" w:eastAsia="方正楷体_GBK" w:cs="方正楷体_GBK" w:hint="eastAsia"/>
        </w:rPr>
        <w:t>国家皮肤与免疫疾病临床医学研究中心</w:t>
      </w:r>
      <w:r>
        <w:rPr>
          <w:rFonts w:ascii="方正楷体_GBK" w:eastAsia="方正楷体_GBK" w:cs="方正楷体_GBK"/>
        </w:rPr>
        <w:t xml:space="preserve">  </w:t>
      </w:r>
      <w:r>
        <w:rPr>
          <w:rFonts w:ascii="方正楷体_GBK" w:eastAsia="方正楷体_GBK" w:cs="方正楷体_GBK" w:hint="eastAsia"/>
        </w:rPr>
        <w:t>北京</w:t>
      </w:r>
      <w:r>
        <w:rPr>
          <w:rFonts w:ascii="方正楷体_GBK" w:eastAsia="方正楷体_GBK" w:cs="方正楷体_GBK"/>
        </w:rPr>
        <w:t xml:space="preserve">  100034</w:t>
      </w:r>
      <w:r>
        <w:rPr>
          <w:rFonts w:ascii="方正楷体_GBK" w:eastAsia="方正楷体_GBK" w:cs="方正楷体_GBK" w:hint="eastAsia"/>
        </w:rPr>
        <w:t>；</w:t>
      </w:r>
      <w:r>
        <w:rPr>
          <w:rFonts w:ascii="方正楷体_GBK" w:eastAsia="方正楷体_GBK" w:cs="方正楷体_GBK"/>
        </w:rPr>
        <w:t>2.</w:t>
      </w:r>
      <w:r>
        <w:rPr>
          <w:rFonts w:ascii="方正楷体_GBK" w:eastAsia="方正楷体_GBK" w:cs="方正楷体_GBK" w:hint="eastAsia"/>
        </w:rPr>
        <w:t>甘肃宝石花医院皮肤科</w:t>
      </w:r>
      <w:r>
        <w:rPr>
          <w:rFonts w:ascii="方正楷体_GBK" w:eastAsia="方正楷体_GBK" w:cs="方正楷体_GBK"/>
        </w:rPr>
        <w:t xml:space="preserve">  </w:t>
      </w:r>
      <w:r>
        <w:rPr>
          <w:rFonts w:ascii="方正楷体_GBK" w:eastAsia="方正楷体_GBK" w:cs="方正楷体_GBK" w:hint="eastAsia"/>
        </w:rPr>
        <w:t>甘肃</w:t>
      </w:r>
      <w:r>
        <w:rPr>
          <w:rFonts w:ascii="方正楷体_GBK" w:eastAsia="方正楷体_GBK" w:cs="方正楷体_GBK"/>
        </w:rPr>
        <w:t xml:space="preserve"> </w:t>
      </w:r>
      <w:r>
        <w:rPr>
          <w:rFonts w:ascii="方正楷体_GBK" w:eastAsia="方正楷体_GBK" w:cs="方正楷体_GBK" w:hint="eastAsia"/>
        </w:rPr>
        <w:t>兰州</w:t>
      </w:r>
      <w:r>
        <w:rPr>
          <w:rFonts w:ascii="方正楷体_GBK" w:eastAsia="方正楷体_GBK" w:cs="方正楷体_GBK"/>
        </w:rPr>
        <w:t xml:space="preserve">  730060</w:t>
      </w:r>
      <w:r>
        <w:rPr>
          <w:rFonts w:ascii="方正楷体_GBK" w:eastAsia="方正楷体_GBK" w:cs="方正楷体_GBK" w:hint="eastAsia"/>
        </w:rPr>
        <w:t>；</w:t>
      </w:r>
      <w:r>
        <w:rPr>
          <w:rFonts w:ascii="方正楷体_GBK" w:eastAsia="方正楷体_GBK" w:cs="方正楷体_GBK"/>
        </w:rPr>
        <w:t>3.</w:t>
      </w:r>
      <w:r>
        <w:rPr>
          <w:rFonts w:ascii="方正楷体_GBK" w:eastAsia="方正楷体_GBK" w:cs="方正楷体_GBK" w:hint="eastAsia"/>
        </w:rPr>
        <w:t>欧莱雅（中国）有限公司</w:t>
      </w:r>
      <w:r>
        <w:rPr>
          <w:rFonts w:ascii="方正楷体_GBK" w:eastAsia="方正楷体_GBK" w:cs="方正楷体_GBK"/>
        </w:rPr>
        <w:t xml:space="preserve">  </w:t>
      </w:r>
      <w:r>
        <w:rPr>
          <w:rFonts w:ascii="方正楷体_GBK" w:eastAsia="方正楷体_GBK" w:cs="方正楷体_GBK" w:hint="eastAsia"/>
        </w:rPr>
        <w:t>上海</w:t>
      </w:r>
      <w:r>
        <w:rPr>
          <w:rFonts w:ascii="方正楷体_GBK" w:eastAsia="方正楷体_GBK" w:cs="方正楷体_GBK"/>
        </w:rPr>
        <w:t xml:space="preserve">  200040]</w:t>
      </w:r>
    </w:p>
    <w:p w14:paraId="60E696D5" w14:textId="77777777" w:rsidR="0040017D" w:rsidRDefault="0040017D" w:rsidP="0040017D">
      <w:pPr>
        <w:pStyle w:val="a4"/>
      </w:pPr>
      <w:r>
        <w:rPr>
          <w:rStyle w:val="9"/>
        </w:rPr>
        <w:t>[</w:t>
      </w:r>
      <w:r>
        <w:rPr>
          <w:rStyle w:val="9"/>
          <w:rFonts w:hint="eastAsia"/>
        </w:rPr>
        <w:t>摘要</w:t>
      </w:r>
      <w:r>
        <w:rPr>
          <w:rStyle w:val="9"/>
        </w:rPr>
        <w:t>]</w:t>
      </w:r>
      <w:r>
        <w:rPr>
          <w:rStyle w:val="9"/>
          <w:rFonts w:hint="eastAsia"/>
        </w:rPr>
        <w:t>目的：</w:t>
      </w:r>
      <w:r>
        <w:rPr>
          <w:rFonts w:hint="eastAsia"/>
        </w:rPr>
        <w:t>观察两种含有神经酰胺的保湿剂对于干性皮肤屏障功能的影响，以及保湿效果和安全性。</w:t>
      </w:r>
      <w:r>
        <w:rPr>
          <w:rStyle w:val="9"/>
          <w:rFonts w:hint="eastAsia"/>
        </w:rPr>
        <w:t>方法：</w:t>
      </w:r>
      <w:r>
        <w:rPr>
          <w:rFonts w:hint="eastAsia"/>
        </w:rPr>
        <w:t>采用随机、双盲、自身左右、阳性对照试验。选取</w:t>
      </w:r>
      <w:r>
        <w:t>33</w:t>
      </w:r>
      <w:r>
        <w:rPr>
          <w:rFonts w:hint="eastAsia"/>
        </w:rPr>
        <w:t>名受试者，每日早晚于双侧小腿分别使用试验产品（含有混合神经酰胺保湿剂）及对照产品（含有单一神经酰胺保湿剂），连续使用</w:t>
      </w:r>
      <w:r>
        <w:t>14</w:t>
      </w:r>
      <w:r>
        <w:rPr>
          <w:rFonts w:ascii="MS Gothic" w:eastAsia="MS Gothic" w:hAnsi="MS Gothic" w:cs="MS Gothic" w:hint="eastAsia"/>
        </w:rPr>
        <w:t> </w:t>
      </w:r>
      <w:r>
        <w:t>d</w:t>
      </w:r>
      <w:r>
        <w:rPr>
          <w:rFonts w:hint="eastAsia"/>
        </w:rPr>
        <w:t>后停用</w:t>
      </w:r>
      <w:r>
        <w:t>3</w:t>
      </w:r>
      <w:r>
        <w:rPr>
          <w:rFonts w:ascii="MS Gothic" w:eastAsia="MS Gothic" w:hAnsi="MS Gothic" w:cs="MS Gothic" w:hint="eastAsia"/>
        </w:rPr>
        <w:t> </w:t>
      </w:r>
      <w:r>
        <w:t>d</w:t>
      </w:r>
      <w:r>
        <w:rPr>
          <w:rFonts w:hint="eastAsia"/>
        </w:rPr>
        <w:t>，以观察产品的长期效果。在基线（</w:t>
      </w:r>
      <w:r>
        <w:t>D0</w:t>
      </w:r>
      <w:r>
        <w:rPr>
          <w:rFonts w:hint="eastAsia"/>
        </w:rPr>
        <w:t>）、使用后第</w:t>
      </w:r>
      <w:r>
        <w:t>1</w:t>
      </w:r>
      <w:r>
        <w:rPr>
          <w:rFonts w:hint="eastAsia"/>
        </w:rPr>
        <w:t>天（</w:t>
      </w:r>
      <w:r>
        <w:t>D1</w:t>
      </w:r>
      <w:r>
        <w:rPr>
          <w:rFonts w:hint="eastAsia"/>
        </w:rPr>
        <w:t>）、第</w:t>
      </w:r>
      <w:r>
        <w:t>7</w:t>
      </w:r>
      <w:r>
        <w:rPr>
          <w:rFonts w:hint="eastAsia"/>
        </w:rPr>
        <w:t>天（</w:t>
      </w:r>
      <w:r>
        <w:t>D7</w:t>
      </w:r>
      <w:r>
        <w:rPr>
          <w:rFonts w:hint="eastAsia"/>
        </w:rPr>
        <w:t>）、第</w:t>
      </w:r>
      <w:r>
        <w:t>14</w:t>
      </w:r>
      <w:r>
        <w:rPr>
          <w:rFonts w:hint="eastAsia"/>
        </w:rPr>
        <w:t>天（</w:t>
      </w:r>
      <w:r>
        <w:t>D14</w:t>
      </w:r>
      <w:r>
        <w:rPr>
          <w:rFonts w:hint="eastAsia"/>
        </w:rPr>
        <w:t>）、第</w:t>
      </w:r>
      <w:r>
        <w:t>17</w:t>
      </w:r>
      <w:r>
        <w:rPr>
          <w:rFonts w:hint="eastAsia"/>
        </w:rPr>
        <w:t>天（</w:t>
      </w:r>
      <w:r>
        <w:t>D17</w:t>
      </w:r>
      <w:r>
        <w:rPr>
          <w:rFonts w:hint="eastAsia"/>
        </w:rPr>
        <w:t>）分别进行数码相机拍照、检测角质层含水量和经皮水分丢失率（</w:t>
      </w:r>
      <w:r>
        <w:t>TEWL</w:t>
      </w:r>
      <w:r>
        <w:rPr>
          <w:rFonts w:hint="eastAsia"/>
        </w:rPr>
        <w:t>），同时研究者和受试者主观评价，并记录不良反应。</w:t>
      </w:r>
      <w:r>
        <w:rPr>
          <w:rStyle w:val="9"/>
          <w:rFonts w:hint="eastAsia"/>
        </w:rPr>
        <w:t>结果：</w:t>
      </w:r>
      <w:r>
        <w:rPr>
          <w:rFonts w:hint="eastAsia"/>
        </w:rPr>
        <w:t>在使用试验产品及对照产品后各时间点角质层含水量均高于基线水平、</w:t>
      </w:r>
      <w:r>
        <w:t>TEWL</w:t>
      </w:r>
      <w:r>
        <w:rPr>
          <w:rFonts w:hint="eastAsia"/>
        </w:rPr>
        <w:t>均低于基线水平。组间比较显示试验侧角质层含水量在第</w:t>
      </w:r>
      <w:r>
        <w:t>17</w:t>
      </w:r>
      <w:r>
        <w:rPr>
          <w:rFonts w:hint="eastAsia"/>
        </w:rPr>
        <w:t>天显著优于对照侧（试验侧和对照侧比基线分别升高</w:t>
      </w:r>
      <w:r>
        <w:t>8.58</w:t>
      </w:r>
      <w:r>
        <w:rPr>
          <w:rFonts w:hint="eastAsia"/>
        </w:rPr>
        <w:t>±</w:t>
      </w:r>
      <w:r>
        <w:t>0.77</w:t>
      </w:r>
      <w:r>
        <w:rPr>
          <w:rFonts w:hint="eastAsia"/>
        </w:rPr>
        <w:t>和</w:t>
      </w:r>
      <w:r>
        <w:t>6.11</w:t>
      </w:r>
      <w:r>
        <w:rPr>
          <w:rFonts w:hint="eastAsia"/>
        </w:rPr>
        <w:t>±</w:t>
      </w:r>
      <w:r>
        <w:t>0.45</w:t>
      </w:r>
      <w:r>
        <w:rPr>
          <w:rFonts w:hint="eastAsia"/>
        </w:rPr>
        <w:t>，差异有统计学意义（</w:t>
      </w:r>
      <w:r>
        <w:t>P</w:t>
      </w:r>
      <w:r>
        <w:rPr>
          <w:rFonts w:hint="eastAsia"/>
        </w:rPr>
        <w:t>＜</w:t>
      </w:r>
      <w:r>
        <w:t>0.05</w:t>
      </w:r>
      <w:r>
        <w:rPr>
          <w:rFonts w:hint="eastAsia"/>
        </w:rPr>
        <w:t>）。试验侧第</w:t>
      </w:r>
      <w:r>
        <w:t>7</w:t>
      </w:r>
      <w:r>
        <w:rPr>
          <w:rFonts w:hint="eastAsia"/>
        </w:rPr>
        <w:t>天和第</w:t>
      </w:r>
      <w:r>
        <w:t>17</w:t>
      </w:r>
      <w:r>
        <w:rPr>
          <w:rFonts w:hint="eastAsia"/>
        </w:rPr>
        <w:t>天</w:t>
      </w:r>
      <w:r>
        <w:t>TEWL</w:t>
      </w:r>
      <w:r>
        <w:rPr>
          <w:rFonts w:hint="eastAsia"/>
        </w:rPr>
        <w:t>相比基线降低的程度显著优于对照侧（第</w:t>
      </w:r>
      <w:r>
        <w:t>7</w:t>
      </w:r>
      <w:r>
        <w:rPr>
          <w:rFonts w:hint="eastAsia"/>
        </w:rPr>
        <w:t>天中位数分别为</w:t>
      </w:r>
      <w:r>
        <w:t>1.57</w:t>
      </w:r>
      <w:r>
        <w:rPr>
          <w:rFonts w:hint="eastAsia"/>
        </w:rPr>
        <w:t>和</w:t>
      </w:r>
      <w:r>
        <w:t>1.54</w:t>
      </w:r>
      <w:r>
        <w:rPr>
          <w:rFonts w:hint="eastAsia"/>
        </w:rPr>
        <w:t>，第</w:t>
      </w:r>
      <w:r>
        <w:t>17</w:t>
      </w:r>
      <w:r>
        <w:rPr>
          <w:rFonts w:hint="eastAsia"/>
        </w:rPr>
        <w:t>天分别为</w:t>
      </w:r>
      <w:r>
        <w:t>1.24</w:t>
      </w:r>
      <w:r>
        <w:rPr>
          <w:rFonts w:hint="eastAsia"/>
        </w:rPr>
        <w:t>和</w:t>
      </w:r>
      <w:r>
        <w:t>1.10</w:t>
      </w:r>
      <w:r>
        <w:rPr>
          <w:rFonts w:hint="eastAsia"/>
        </w:rPr>
        <w:t>），差异均有统计学意（</w:t>
      </w:r>
      <w:r>
        <w:t>P</w:t>
      </w:r>
      <w:r>
        <w:rPr>
          <w:rFonts w:hint="eastAsia"/>
        </w:rPr>
        <w:t>＜</w:t>
      </w:r>
      <w:r>
        <w:t>0.05</w:t>
      </w:r>
      <w:r>
        <w:rPr>
          <w:rFonts w:hint="eastAsia"/>
        </w:rPr>
        <w:t>）。研究者和受试者的主观评价显示两侧各时间点与基线相比，皮肤干燥、脱屑和瘙痒评分均有改善，有统计学意义（</w:t>
      </w:r>
      <w:r>
        <w:t>P</w:t>
      </w:r>
      <w:r>
        <w:rPr>
          <w:rFonts w:hint="eastAsia"/>
        </w:rPr>
        <w:t>＜</w:t>
      </w:r>
      <w:r>
        <w:t>0.05</w:t>
      </w:r>
      <w:r>
        <w:rPr>
          <w:rFonts w:hint="eastAsia"/>
        </w:rPr>
        <w:t>），但组间比较差异无统计学意义（</w:t>
      </w:r>
      <w:r>
        <w:t>P</w:t>
      </w:r>
      <w:r>
        <w:rPr>
          <w:rFonts w:hint="eastAsia"/>
        </w:rPr>
        <w:t>＞</w:t>
      </w:r>
      <w:r>
        <w:t>0.05</w:t>
      </w:r>
      <w:r>
        <w:rPr>
          <w:rFonts w:hint="eastAsia"/>
        </w:rPr>
        <w:t>）。所有受试者在使用过程中均未出现明显不良反应。</w:t>
      </w:r>
      <w:r>
        <w:rPr>
          <w:rStyle w:val="9"/>
          <w:rFonts w:hint="eastAsia"/>
        </w:rPr>
        <w:t>结论：</w:t>
      </w:r>
      <w:r>
        <w:rPr>
          <w:rFonts w:hint="eastAsia"/>
        </w:rPr>
        <w:t>试验产品及对照产品对于改善轻中度干性皮肤的干燥症状和修复皮肤屏障功能安全有效，含有混合神经酰胺的试验产品保湿效果更持久。</w:t>
      </w:r>
    </w:p>
    <w:p w14:paraId="0935434C" w14:textId="77777777" w:rsidR="0040017D" w:rsidRDefault="0040017D" w:rsidP="0040017D">
      <w:pPr>
        <w:pStyle w:val="a4"/>
      </w:pPr>
      <w:r>
        <w:rPr>
          <w:rStyle w:val="9"/>
        </w:rPr>
        <w:t>[</w:t>
      </w:r>
      <w:r>
        <w:rPr>
          <w:rStyle w:val="9"/>
          <w:rFonts w:hint="eastAsia"/>
        </w:rPr>
        <w:t>关键词</w:t>
      </w:r>
      <w:r>
        <w:rPr>
          <w:rStyle w:val="9"/>
        </w:rPr>
        <w:t>]</w:t>
      </w:r>
      <w:r>
        <w:rPr>
          <w:rFonts w:hint="eastAsia"/>
        </w:rPr>
        <w:t>神经酰胺；干性皮肤；皮肤屏障；保湿剂</w:t>
      </w:r>
    </w:p>
    <w:p w14:paraId="5B636CE3" w14:textId="77777777" w:rsidR="0040017D" w:rsidRDefault="0040017D" w:rsidP="0040017D">
      <w:pPr>
        <w:pStyle w:val="a4"/>
      </w:pPr>
      <w:r>
        <w:rPr>
          <w:rStyle w:val="9"/>
        </w:rPr>
        <w:t>[</w:t>
      </w:r>
      <w:r>
        <w:rPr>
          <w:rStyle w:val="9"/>
          <w:rFonts w:hint="eastAsia"/>
        </w:rPr>
        <w:t>中图分类号</w:t>
      </w:r>
      <w:r>
        <w:rPr>
          <w:rStyle w:val="9"/>
        </w:rPr>
        <w:t>]</w:t>
      </w:r>
      <w:r>
        <w:t xml:space="preserve">R322.99    </w:t>
      </w:r>
      <w:r>
        <w:rPr>
          <w:rStyle w:val="9"/>
        </w:rPr>
        <w:t>[</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2022</w:t>
      </w:r>
      <w:r>
        <w:rPr>
          <w:rFonts w:hint="eastAsia"/>
        </w:rPr>
        <w:t>）</w:t>
      </w:r>
      <w:r>
        <w:t>02-0062-05</w:t>
      </w:r>
    </w:p>
    <w:p w14:paraId="105515BD" w14:textId="77777777" w:rsidR="0040017D" w:rsidRDefault="0040017D" w:rsidP="0040017D">
      <w:pPr>
        <w:pStyle w:val="a5"/>
      </w:pPr>
    </w:p>
    <w:p w14:paraId="2B2F9BE6" w14:textId="77777777" w:rsidR="0040017D" w:rsidRPr="0040017D" w:rsidRDefault="0040017D" w:rsidP="0040017D">
      <w:pPr>
        <w:pStyle w:val="a5"/>
        <w:rPr>
          <w:lang w:val="en-US"/>
        </w:rPr>
      </w:pPr>
      <w:r w:rsidRPr="0040017D">
        <w:rPr>
          <w:lang w:val="en-US"/>
        </w:rPr>
        <w:t>Efficacy and Safety of Moisturizers Containing Ceramide in Improving Dry Skin</w:t>
      </w:r>
    </w:p>
    <w:p w14:paraId="5C7C8EC9" w14:textId="77777777" w:rsidR="0040017D" w:rsidRPr="0040017D" w:rsidRDefault="0040017D" w:rsidP="0040017D">
      <w:pPr>
        <w:pStyle w:val="a6"/>
        <w:rPr>
          <w:lang w:val="en-US"/>
        </w:rPr>
      </w:pPr>
      <w:r w:rsidRPr="0040017D">
        <w:rPr>
          <w:lang w:val="en-US"/>
        </w:rPr>
        <w:t>LAI Yanyun</w:t>
      </w:r>
      <w:r w:rsidRPr="0040017D">
        <w:rPr>
          <w:vertAlign w:val="superscript"/>
          <w:lang w:val="en-US"/>
        </w:rPr>
        <w:t>1</w:t>
      </w:r>
      <w:r w:rsidRPr="0040017D">
        <w:rPr>
          <w:lang w:val="en-US"/>
        </w:rPr>
        <w:t>, TAO Sirui</w:t>
      </w:r>
      <w:r w:rsidRPr="0040017D">
        <w:rPr>
          <w:vertAlign w:val="superscript"/>
          <w:lang w:val="en-US"/>
        </w:rPr>
        <w:t>1,2</w:t>
      </w:r>
      <w:r w:rsidRPr="0040017D">
        <w:rPr>
          <w:lang w:val="en-US"/>
        </w:rPr>
        <w:t>, YANG Li</w:t>
      </w:r>
      <w:r w:rsidRPr="0040017D">
        <w:rPr>
          <w:vertAlign w:val="superscript"/>
          <w:lang w:val="en-US"/>
        </w:rPr>
        <w:t>1</w:t>
      </w:r>
      <w:r w:rsidRPr="0040017D">
        <w:rPr>
          <w:lang w:val="en-US"/>
        </w:rPr>
        <w:t>, SHEN Zhong</w:t>
      </w:r>
      <w:r w:rsidRPr="0040017D">
        <w:rPr>
          <w:vertAlign w:val="superscript"/>
          <w:lang w:val="en-US"/>
        </w:rPr>
        <w:t>3</w:t>
      </w:r>
      <w:r w:rsidRPr="0040017D">
        <w:rPr>
          <w:lang w:val="en-US"/>
        </w:rPr>
        <w:t>, ZHANG Zhongxing</w:t>
      </w:r>
      <w:r w:rsidRPr="0040017D">
        <w:rPr>
          <w:vertAlign w:val="superscript"/>
          <w:lang w:val="en-US"/>
        </w:rPr>
        <w:t>3</w:t>
      </w:r>
      <w:r w:rsidRPr="0040017D">
        <w:rPr>
          <w:lang w:val="en-US"/>
        </w:rPr>
        <w:t>, ZHONG Shaomin</w:t>
      </w:r>
      <w:r w:rsidRPr="0040017D">
        <w:rPr>
          <w:vertAlign w:val="superscript"/>
          <w:lang w:val="en-US"/>
        </w:rPr>
        <w:t>1</w:t>
      </w:r>
      <w:r w:rsidRPr="0040017D">
        <w:rPr>
          <w:lang w:val="en-US"/>
        </w:rPr>
        <w:t>, WU Yan</w:t>
      </w:r>
      <w:r w:rsidRPr="0040017D">
        <w:rPr>
          <w:vertAlign w:val="superscript"/>
          <w:lang w:val="en-US"/>
        </w:rPr>
        <w:t>1</w:t>
      </w:r>
    </w:p>
    <w:p w14:paraId="317E92C2" w14:textId="77777777" w:rsidR="0040017D" w:rsidRPr="0040017D" w:rsidRDefault="0040017D" w:rsidP="0040017D">
      <w:pPr>
        <w:pStyle w:val="a7"/>
        <w:rPr>
          <w:lang w:val="en-US"/>
        </w:rPr>
      </w:pPr>
      <w:r w:rsidRPr="0040017D">
        <w:rPr>
          <w:lang w:val="en-US"/>
        </w:rPr>
        <w:t>(1.Department of Dermatology and Venerology, Peking University First Hospital, Beijing Key Laboratory of Molecular Diagnosis on Dermatoses, National Clinical Research Center for Skin and Immune Diseases, Beijing 100034, China; 2.Department of Dermatology, Gansu Gem Flower Hospital, Lanzhou 730060, China; 3. Loreal China Co., Ltd, Shanghai 200040, China)</w:t>
      </w:r>
    </w:p>
    <w:p w14:paraId="5FD0D8DE" w14:textId="77777777" w:rsidR="0040017D" w:rsidRPr="0040017D" w:rsidRDefault="0040017D" w:rsidP="0040017D">
      <w:pPr>
        <w:pStyle w:val="a8"/>
        <w:rPr>
          <w:lang w:val="en-US"/>
        </w:rPr>
      </w:pPr>
    </w:p>
    <w:p w14:paraId="6A1CA5EC" w14:textId="77777777" w:rsidR="0040017D" w:rsidRPr="0040017D" w:rsidRDefault="0040017D" w:rsidP="0040017D">
      <w:pPr>
        <w:pStyle w:val="a8"/>
        <w:rPr>
          <w:lang w:val="en-US"/>
        </w:rPr>
      </w:pPr>
      <w:r w:rsidRPr="0040017D">
        <w:rPr>
          <w:rStyle w:val="95"/>
          <w:lang w:val="en-US"/>
        </w:rPr>
        <w:t xml:space="preserve">Abstract: Objective </w:t>
      </w:r>
      <w:r w:rsidRPr="0040017D">
        <w:rPr>
          <w:lang w:val="en-US"/>
        </w:rPr>
        <w:t xml:space="preserve">To observe the effects of two kinds of moisturizers containing ceramide on barrier function of dry skin and their moisturizing effect and safety. </w:t>
      </w:r>
      <w:r w:rsidRPr="0040017D">
        <w:rPr>
          <w:rStyle w:val="95"/>
          <w:lang w:val="en-US"/>
        </w:rPr>
        <w:t xml:space="preserve">Methods </w:t>
      </w:r>
      <w:r w:rsidRPr="0040017D">
        <w:rPr>
          <w:lang w:val="en-US"/>
        </w:rPr>
        <w:t xml:space="preserve"> A randomized, double-blind self-controlled trial with positive control was performed. Thirty-three subjects were included in the study. The test product which contains mixed ceramides and the control product which contains single ceramide were used on corresponding legs twice daily, separately. After 14 days of continuous use, the products were stopped for 3 days to observe the long-term effect of the products. At baseline (D0), day 1 (D1), day 7 (D7), day 14 (D14), day 17 (D17), digital camera was used to take photos, and non-invasive skin measurements were used to detect the water content of the stratum corneum and Transcutaneous water loss (TEWL). Meanwhile, subjective evaluation of investigators and subjects were conducted, and adverse reactions were recorded. </w:t>
      </w:r>
      <w:r w:rsidRPr="0040017D">
        <w:rPr>
          <w:rStyle w:val="95"/>
          <w:lang w:val="en-US"/>
        </w:rPr>
        <w:t xml:space="preserve">Results  </w:t>
      </w:r>
      <w:r w:rsidRPr="0040017D">
        <w:rPr>
          <w:lang w:val="en-US"/>
        </w:rPr>
        <w:t>After the application of both products, the water content of the stratum corneum was higher than the baseline level, and the TEWL was lower than the baseline level at each time point on both sides. The comparison between groups showed that the water content of stratum corneum of the test side was significantly higher than that of the control side on D17 (the test side and the control side increased 8.58±0.77 and 6</w:t>
      </w:r>
      <w:r w:rsidRPr="0040017D">
        <w:rPr>
          <w:spacing w:val="4"/>
          <w:lang w:val="en-US"/>
        </w:rPr>
        <w:t>.11±0.45,P</w:t>
      </w:r>
      <w:r w:rsidRPr="0040017D">
        <w:rPr>
          <w:rFonts w:ascii="宋体" w:eastAsia="宋体" w:cs="宋体" w:hint="eastAsia"/>
          <w:spacing w:val="4"/>
          <w:lang w:val="en-US"/>
        </w:rPr>
        <w:t>＜</w:t>
      </w:r>
      <w:r w:rsidRPr="0040017D">
        <w:rPr>
          <w:spacing w:val="4"/>
          <w:lang w:val="en-US"/>
        </w:rPr>
        <w:t>0.05). Compared to the baseline, the TEWL on D7 and D17 of the test side was significantly lower than the control side (1.57 vs. 1.54 on D7, P</w:t>
      </w:r>
      <w:r w:rsidRPr="0040017D">
        <w:rPr>
          <w:rFonts w:ascii="宋体" w:eastAsia="宋体" w:cs="宋体" w:hint="eastAsia"/>
          <w:spacing w:val="4"/>
          <w:lang w:val="en-US"/>
        </w:rPr>
        <w:t>＜</w:t>
      </w:r>
      <w:r w:rsidRPr="0040017D">
        <w:rPr>
          <w:spacing w:val="4"/>
          <w:lang w:val="en-US"/>
        </w:rPr>
        <w:t>0.05) (1.24 vs.1.10 on D17, P</w:t>
      </w:r>
      <w:r w:rsidRPr="0040017D">
        <w:rPr>
          <w:rFonts w:ascii="宋体" w:eastAsia="宋体" w:cs="宋体" w:hint="eastAsia"/>
          <w:spacing w:val="4"/>
          <w:lang w:val="en-US"/>
        </w:rPr>
        <w:t>＜</w:t>
      </w:r>
      <w:r w:rsidRPr="0040017D">
        <w:rPr>
          <w:spacing w:val="4"/>
          <w:lang w:val="en-US"/>
        </w:rPr>
        <w:t>0.05). The subjective evaluation of the investigator and the subjects showed that compared with the baseline at each time point , the skin dryness, desquamation and pruritus scores improv</w:t>
      </w:r>
      <w:r w:rsidRPr="0040017D">
        <w:rPr>
          <w:lang w:val="en-US"/>
        </w:rPr>
        <w:t>ed significantly on both sides(P</w:t>
      </w:r>
      <w:r w:rsidRPr="0040017D">
        <w:rPr>
          <w:rFonts w:ascii="宋体" w:eastAsia="宋体" w:cs="宋体" w:hint="eastAsia"/>
          <w:lang w:val="en-US"/>
        </w:rPr>
        <w:t>＜</w:t>
      </w:r>
      <w:r w:rsidRPr="0040017D">
        <w:rPr>
          <w:lang w:val="en-US"/>
        </w:rPr>
        <w:t>0.05), but the comparison between the two groups was not statistically significant(P</w:t>
      </w:r>
      <w:r w:rsidRPr="0040017D">
        <w:rPr>
          <w:rFonts w:ascii="宋体" w:eastAsia="宋体" w:cs="宋体" w:hint="eastAsia"/>
          <w:lang w:val="en-US"/>
        </w:rPr>
        <w:t>＞</w:t>
      </w:r>
      <w:r w:rsidRPr="0040017D">
        <w:rPr>
          <w:lang w:val="en-US"/>
        </w:rPr>
        <w:t xml:space="preserve">0.05). All subjects had no obvious adverse reactions during the application. </w:t>
      </w:r>
      <w:r w:rsidRPr="0040017D">
        <w:rPr>
          <w:rStyle w:val="95"/>
          <w:lang w:val="en-US"/>
        </w:rPr>
        <w:t>Conclusion</w:t>
      </w:r>
      <w:r w:rsidRPr="0040017D">
        <w:rPr>
          <w:lang w:val="en-US"/>
        </w:rPr>
        <w:t xml:space="preserve">  Both of the moisturizers containing ceramide are safe and effective in improving skin dryness and repairing skin barrier function,the tested product containing mixed ceramide has long last moisturizing effect.</w:t>
      </w:r>
    </w:p>
    <w:p w14:paraId="3BA1F469" w14:textId="68163070" w:rsidR="00BA7C01" w:rsidRPr="0040017D" w:rsidRDefault="0040017D" w:rsidP="0040017D">
      <w:r>
        <w:rPr>
          <w:rStyle w:val="95"/>
        </w:rPr>
        <w:t xml:space="preserve">Key words: </w:t>
      </w:r>
      <w:r>
        <w:t>ceramide; dry skin; skin barrier; moist</w:t>
      </w:r>
    </w:p>
    <w:sectPr w:rsidR="00BA7C01" w:rsidRPr="0040017D"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29201E"/>
    <w:rsid w:val="003A32F2"/>
    <w:rsid w:val="0040017D"/>
    <w:rsid w:val="004B3559"/>
    <w:rsid w:val="00647A10"/>
    <w:rsid w:val="00BA18EC"/>
    <w:rsid w:val="00BA7C01"/>
    <w:rsid w:val="00C4673F"/>
    <w:rsid w:val="00CA62A7"/>
    <w:rsid w:val="00DF5338"/>
    <w:rsid w:val="00FD1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543</Words>
  <Characters>3096</Characters>
  <Application>Microsoft Office Word</Application>
  <DocSecurity>0</DocSecurity>
  <Lines>25</Lines>
  <Paragraphs>7</Paragraphs>
  <ScaleCrop>false</ScaleCrop>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2022-03-07T01:53:00Z</dcterms:created>
  <dcterms:modified xsi:type="dcterms:W3CDTF">2022-03-07T02:18:00Z</dcterms:modified>
</cp:coreProperties>
</file>