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0234" w14:textId="77777777" w:rsidR="0001518D" w:rsidRPr="0001518D" w:rsidRDefault="0001518D" w:rsidP="0001518D">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01518D">
        <w:rPr>
          <w:rFonts w:ascii="方正小标宋_GBK" w:eastAsia="方正小标宋_GBK" w:cs="方正小标宋_GBK" w:hint="eastAsia"/>
          <w:color w:val="920883"/>
          <w:kern w:val="0"/>
          <w:sz w:val="30"/>
          <w:szCs w:val="30"/>
          <w:lang w:val="zh-CN"/>
        </w:rPr>
        <w:t>腔镜腋下大汗腺精准切除术治疗重度腋臭疗效观察</w:t>
      </w:r>
    </w:p>
    <w:p w14:paraId="10C9500C" w14:textId="77777777" w:rsidR="0001518D" w:rsidRPr="0001518D" w:rsidRDefault="0001518D" w:rsidP="0001518D">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01518D">
        <w:rPr>
          <w:rFonts w:ascii="方正楷体_GBK" w:eastAsia="方正楷体_GBK" w:cs="方正楷体_GBK" w:hint="eastAsia"/>
          <w:color w:val="000000"/>
          <w:kern w:val="0"/>
          <w:sz w:val="24"/>
          <w:szCs w:val="24"/>
          <w:lang w:val="zh-CN"/>
        </w:rPr>
        <w:t>刘</w:t>
      </w:r>
      <w:r w:rsidRPr="0001518D">
        <w:rPr>
          <w:rFonts w:ascii="方正楷体_GBK" w:eastAsia="方正楷体_GBK" w:cs="方正楷体_GBK"/>
          <w:color w:val="000000"/>
          <w:kern w:val="0"/>
          <w:sz w:val="24"/>
          <w:szCs w:val="24"/>
          <w:lang w:val="zh-CN"/>
        </w:rPr>
        <w:t xml:space="preserve"> </w:t>
      </w:r>
      <w:r w:rsidRPr="0001518D">
        <w:rPr>
          <w:rFonts w:ascii="方正楷体_GBK" w:eastAsia="方正楷体_GBK" w:cs="方正楷体_GBK" w:hint="eastAsia"/>
          <w:color w:val="000000"/>
          <w:kern w:val="0"/>
          <w:sz w:val="24"/>
          <w:szCs w:val="24"/>
          <w:lang w:val="zh-CN"/>
        </w:rPr>
        <w:t>娜</w:t>
      </w:r>
      <w:r w:rsidRPr="0001518D">
        <w:rPr>
          <w:rFonts w:ascii="方正楷体_GBK" w:eastAsia="方正楷体_GBK" w:cs="方正楷体_GBK"/>
          <w:color w:val="000000"/>
          <w:kern w:val="0"/>
          <w:sz w:val="24"/>
          <w:szCs w:val="24"/>
          <w:vertAlign w:val="superscript"/>
          <w:lang w:val="zh-CN"/>
        </w:rPr>
        <w:t>1</w:t>
      </w:r>
      <w:r w:rsidRPr="0001518D">
        <w:rPr>
          <w:rFonts w:ascii="方正楷体_GBK" w:eastAsia="方正楷体_GBK" w:cs="方正楷体_GBK" w:hint="eastAsia"/>
          <w:color w:val="000000"/>
          <w:kern w:val="0"/>
          <w:sz w:val="24"/>
          <w:szCs w:val="24"/>
          <w:lang w:val="zh-CN"/>
        </w:rPr>
        <w:t>，于冰冰</w:t>
      </w:r>
      <w:r w:rsidRPr="0001518D">
        <w:rPr>
          <w:rFonts w:ascii="方正楷体_GBK" w:eastAsia="方正楷体_GBK" w:cs="方正楷体_GBK"/>
          <w:color w:val="000000"/>
          <w:kern w:val="0"/>
          <w:sz w:val="24"/>
          <w:szCs w:val="24"/>
          <w:vertAlign w:val="superscript"/>
          <w:lang w:val="zh-CN"/>
        </w:rPr>
        <w:t>2</w:t>
      </w:r>
      <w:r w:rsidRPr="0001518D">
        <w:rPr>
          <w:rFonts w:ascii="方正楷体_GBK" w:eastAsia="方正楷体_GBK" w:cs="方正楷体_GBK" w:hint="eastAsia"/>
          <w:color w:val="000000"/>
          <w:kern w:val="0"/>
          <w:sz w:val="24"/>
          <w:szCs w:val="24"/>
          <w:lang w:val="zh-CN"/>
        </w:rPr>
        <w:t>，刘</w:t>
      </w:r>
      <w:r w:rsidRPr="0001518D">
        <w:rPr>
          <w:rFonts w:ascii="方正楷体_GBK" w:eastAsia="方正楷体_GBK" w:cs="方正楷体_GBK"/>
          <w:color w:val="000000"/>
          <w:kern w:val="0"/>
          <w:sz w:val="24"/>
          <w:szCs w:val="24"/>
          <w:lang w:val="zh-CN"/>
        </w:rPr>
        <w:t xml:space="preserve"> </w:t>
      </w:r>
      <w:r w:rsidRPr="0001518D">
        <w:rPr>
          <w:rFonts w:ascii="方正楷体_GBK" w:eastAsia="方正楷体_GBK" w:cs="方正楷体_GBK" w:hint="eastAsia"/>
          <w:color w:val="000000"/>
          <w:kern w:val="0"/>
          <w:sz w:val="24"/>
          <w:szCs w:val="24"/>
          <w:lang w:val="zh-CN"/>
        </w:rPr>
        <w:t>竞</w:t>
      </w:r>
      <w:r w:rsidRPr="0001518D">
        <w:rPr>
          <w:rFonts w:ascii="方正楷体_GBK" w:eastAsia="方正楷体_GBK" w:cs="方正楷体_GBK"/>
          <w:color w:val="000000"/>
          <w:kern w:val="0"/>
          <w:sz w:val="24"/>
          <w:szCs w:val="24"/>
          <w:vertAlign w:val="superscript"/>
          <w:lang w:val="zh-CN"/>
        </w:rPr>
        <w:t>3</w:t>
      </w:r>
    </w:p>
    <w:p w14:paraId="161096F5" w14:textId="77777777" w:rsidR="0001518D" w:rsidRPr="0001518D" w:rsidRDefault="0001518D" w:rsidP="0001518D">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01518D">
        <w:rPr>
          <w:rFonts w:ascii="方正楷体_GBK" w:eastAsia="方正楷体_GBK" w:cs="方正楷体_GBK" w:hint="eastAsia"/>
          <w:color w:val="000000"/>
          <w:kern w:val="0"/>
          <w:sz w:val="18"/>
          <w:szCs w:val="18"/>
          <w:lang w:val="zh-CN"/>
        </w:rPr>
        <w:t>（</w:t>
      </w:r>
      <w:r w:rsidRPr="0001518D">
        <w:rPr>
          <w:rFonts w:ascii="方正楷体_GBK" w:eastAsia="方正楷体_GBK" w:cs="方正楷体_GBK"/>
          <w:color w:val="000000"/>
          <w:kern w:val="0"/>
          <w:sz w:val="18"/>
          <w:szCs w:val="18"/>
          <w:lang w:val="zh-CN"/>
        </w:rPr>
        <w:t>1.</w:t>
      </w:r>
      <w:r w:rsidRPr="0001518D">
        <w:rPr>
          <w:rFonts w:ascii="方正楷体_GBK" w:eastAsia="方正楷体_GBK" w:cs="方正楷体_GBK" w:hint="eastAsia"/>
          <w:color w:val="000000"/>
          <w:kern w:val="0"/>
          <w:sz w:val="18"/>
          <w:szCs w:val="18"/>
          <w:lang w:val="zh-CN"/>
        </w:rPr>
        <w:t>北京电</w:t>
      </w:r>
      <w:r w:rsidRPr="0001518D">
        <w:rPr>
          <w:rFonts w:ascii="方正楷体_GBK" w:eastAsia="方正楷体_GBK" w:cs="方正楷体_GBK" w:hint="eastAsia"/>
          <w:color w:val="000000"/>
          <w:spacing w:val="-4"/>
          <w:kern w:val="0"/>
          <w:sz w:val="18"/>
          <w:szCs w:val="18"/>
          <w:lang w:val="zh-CN"/>
        </w:rPr>
        <w:t>力医院乳腺科</w:t>
      </w:r>
      <w:r w:rsidRPr="0001518D">
        <w:rPr>
          <w:rFonts w:ascii="方正楷体_GBK" w:eastAsia="方正楷体_GBK" w:cs="方正楷体_GBK"/>
          <w:color w:val="000000"/>
          <w:spacing w:val="-4"/>
          <w:kern w:val="0"/>
          <w:sz w:val="18"/>
          <w:szCs w:val="18"/>
          <w:lang w:val="zh-CN"/>
        </w:rPr>
        <w:t xml:space="preserve">  </w:t>
      </w:r>
      <w:r w:rsidRPr="0001518D">
        <w:rPr>
          <w:rFonts w:ascii="方正楷体_GBK" w:eastAsia="方正楷体_GBK" w:cs="方正楷体_GBK" w:hint="eastAsia"/>
          <w:color w:val="000000"/>
          <w:spacing w:val="-4"/>
          <w:kern w:val="0"/>
          <w:sz w:val="18"/>
          <w:szCs w:val="18"/>
          <w:lang w:val="zh-CN"/>
        </w:rPr>
        <w:t>北京</w:t>
      </w:r>
      <w:r w:rsidRPr="0001518D">
        <w:rPr>
          <w:rFonts w:ascii="方正楷体_GBK" w:eastAsia="方正楷体_GBK" w:cs="方正楷体_GBK"/>
          <w:color w:val="000000"/>
          <w:spacing w:val="-4"/>
          <w:kern w:val="0"/>
          <w:sz w:val="18"/>
          <w:szCs w:val="18"/>
          <w:lang w:val="zh-CN"/>
        </w:rPr>
        <w:t xml:space="preserve">  100073</w:t>
      </w:r>
      <w:r w:rsidRPr="0001518D">
        <w:rPr>
          <w:rFonts w:ascii="方正楷体_GBK" w:eastAsia="方正楷体_GBK" w:cs="方正楷体_GBK" w:hint="eastAsia"/>
          <w:color w:val="000000"/>
          <w:spacing w:val="-4"/>
          <w:kern w:val="0"/>
          <w:sz w:val="18"/>
          <w:szCs w:val="18"/>
          <w:lang w:val="zh-CN"/>
        </w:rPr>
        <w:t>；</w:t>
      </w:r>
      <w:r w:rsidRPr="0001518D">
        <w:rPr>
          <w:rFonts w:ascii="方正楷体_GBK" w:eastAsia="方正楷体_GBK" w:cs="方正楷体_GBK"/>
          <w:color w:val="000000"/>
          <w:spacing w:val="-4"/>
          <w:kern w:val="0"/>
          <w:sz w:val="18"/>
          <w:szCs w:val="18"/>
          <w:lang w:val="zh-CN"/>
        </w:rPr>
        <w:t>2.</w:t>
      </w:r>
      <w:r w:rsidRPr="0001518D">
        <w:rPr>
          <w:rFonts w:ascii="方正楷体_GBK" w:eastAsia="方正楷体_GBK" w:cs="方正楷体_GBK" w:hint="eastAsia"/>
          <w:color w:val="000000"/>
          <w:spacing w:val="-4"/>
          <w:kern w:val="0"/>
          <w:sz w:val="18"/>
          <w:szCs w:val="18"/>
          <w:lang w:val="zh-CN"/>
        </w:rPr>
        <w:t>火箭军特色医学中心肝胆外科</w:t>
      </w:r>
      <w:r w:rsidRPr="0001518D">
        <w:rPr>
          <w:rFonts w:ascii="方正楷体_GBK" w:eastAsia="方正楷体_GBK" w:cs="方正楷体_GBK"/>
          <w:color w:val="000000"/>
          <w:spacing w:val="-4"/>
          <w:kern w:val="0"/>
          <w:sz w:val="18"/>
          <w:szCs w:val="18"/>
          <w:lang w:val="zh-CN"/>
        </w:rPr>
        <w:t xml:space="preserve">  </w:t>
      </w:r>
      <w:r w:rsidRPr="0001518D">
        <w:rPr>
          <w:rFonts w:ascii="方正楷体_GBK" w:eastAsia="方正楷体_GBK" w:cs="方正楷体_GBK" w:hint="eastAsia"/>
          <w:color w:val="000000"/>
          <w:spacing w:val="-4"/>
          <w:kern w:val="0"/>
          <w:sz w:val="18"/>
          <w:szCs w:val="18"/>
          <w:lang w:val="zh-CN"/>
        </w:rPr>
        <w:t>北京</w:t>
      </w:r>
      <w:r w:rsidRPr="0001518D">
        <w:rPr>
          <w:rFonts w:ascii="方正楷体_GBK" w:eastAsia="方正楷体_GBK" w:cs="方正楷体_GBK"/>
          <w:color w:val="000000"/>
          <w:spacing w:val="-4"/>
          <w:kern w:val="0"/>
          <w:sz w:val="18"/>
          <w:szCs w:val="18"/>
          <w:lang w:val="zh-CN"/>
        </w:rPr>
        <w:t xml:space="preserve">  100088</w:t>
      </w:r>
      <w:r w:rsidRPr="0001518D">
        <w:rPr>
          <w:rFonts w:ascii="方正楷体_GBK" w:eastAsia="方正楷体_GBK" w:cs="方正楷体_GBK" w:hint="eastAsia"/>
          <w:color w:val="000000"/>
          <w:spacing w:val="-4"/>
          <w:kern w:val="0"/>
          <w:sz w:val="18"/>
          <w:szCs w:val="18"/>
          <w:lang w:val="zh-CN"/>
        </w:rPr>
        <w:t>；</w:t>
      </w:r>
      <w:r w:rsidRPr="0001518D">
        <w:rPr>
          <w:rFonts w:ascii="方正楷体_GBK" w:eastAsia="方正楷体_GBK" w:cs="方正楷体_GBK"/>
          <w:color w:val="000000"/>
          <w:spacing w:val="-4"/>
          <w:kern w:val="0"/>
          <w:sz w:val="18"/>
          <w:szCs w:val="18"/>
          <w:lang w:val="zh-CN"/>
        </w:rPr>
        <w:t>3.</w:t>
      </w:r>
      <w:r w:rsidRPr="0001518D">
        <w:rPr>
          <w:rFonts w:ascii="方正楷体_GBK" w:eastAsia="方正楷体_GBK" w:cs="方正楷体_GBK" w:hint="eastAsia"/>
          <w:color w:val="000000"/>
          <w:spacing w:val="-4"/>
          <w:kern w:val="0"/>
          <w:sz w:val="18"/>
          <w:szCs w:val="18"/>
          <w:lang w:val="zh-CN"/>
        </w:rPr>
        <w:t>北京和睦家医院外科</w:t>
      </w:r>
      <w:r w:rsidRPr="0001518D">
        <w:rPr>
          <w:rFonts w:ascii="方正楷体_GBK" w:eastAsia="方正楷体_GBK" w:cs="方正楷体_GBK"/>
          <w:color w:val="000000"/>
          <w:spacing w:val="-4"/>
          <w:kern w:val="0"/>
          <w:sz w:val="18"/>
          <w:szCs w:val="18"/>
          <w:lang w:val="zh-CN"/>
        </w:rPr>
        <w:t xml:space="preserve">  </w:t>
      </w:r>
      <w:r w:rsidRPr="0001518D">
        <w:rPr>
          <w:rFonts w:ascii="方正楷体_GBK" w:eastAsia="方正楷体_GBK" w:cs="方正楷体_GBK" w:hint="eastAsia"/>
          <w:color w:val="000000"/>
          <w:spacing w:val="-4"/>
          <w:kern w:val="0"/>
          <w:sz w:val="18"/>
          <w:szCs w:val="18"/>
          <w:lang w:val="zh-CN"/>
        </w:rPr>
        <w:t>北京</w:t>
      </w:r>
      <w:r w:rsidRPr="0001518D">
        <w:rPr>
          <w:rFonts w:ascii="方正楷体_GBK" w:eastAsia="方正楷体_GBK" w:cs="方正楷体_GBK"/>
          <w:color w:val="000000"/>
          <w:spacing w:val="-4"/>
          <w:kern w:val="0"/>
          <w:sz w:val="18"/>
          <w:szCs w:val="18"/>
          <w:lang w:val="zh-CN"/>
        </w:rPr>
        <w:t xml:space="preserve">  100015</w:t>
      </w:r>
      <w:r w:rsidRPr="0001518D">
        <w:rPr>
          <w:rFonts w:ascii="方正楷体_GBK" w:eastAsia="方正楷体_GBK" w:cs="方正楷体_GBK" w:hint="eastAsia"/>
          <w:color w:val="000000"/>
          <w:spacing w:val="-4"/>
          <w:kern w:val="0"/>
          <w:sz w:val="18"/>
          <w:szCs w:val="18"/>
          <w:lang w:val="zh-CN"/>
        </w:rPr>
        <w:t>）</w:t>
      </w:r>
    </w:p>
    <w:p w14:paraId="157BEA22" w14:textId="77777777" w:rsidR="0001518D" w:rsidRPr="0001518D" w:rsidRDefault="0001518D" w:rsidP="0001518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4DD1C582" w14:textId="77777777" w:rsidR="0001518D" w:rsidRPr="0001518D" w:rsidRDefault="0001518D" w:rsidP="0001518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摘要</w:t>
      </w: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目的：</w:t>
      </w:r>
      <w:r w:rsidRPr="0001518D">
        <w:rPr>
          <w:rFonts w:ascii="楷体_GB2312" w:eastAsia="楷体_GB2312" w:cs="楷体_GB2312" w:hint="eastAsia"/>
          <w:color w:val="000000"/>
          <w:kern w:val="0"/>
          <w:sz w:val="18"/>
          <w:szCs w:val="18"/>
          <w:lang w:val="zh-CN"/>
        </w:rPr>
        <w:t>观察腔镜腋下大汗腺精准切除术对重度腋臭患者的疗效及对复发率和并发症发生率的影响。</w:t>
      </w:r>
      <w:r w:rsidRPr="0001518D">
        <w:rPr>
          <w:rFonts w:ascii="黑体" w:eastAsia="黑体" w:cs="黑体" w:hint="eastAsia"/>
          <w:color w:val="000000"/>
          <w:kern w:val="0"/>
          <w:sz w:val="18"/>
          <w:szCs w:val="18"/>
          <w:lang w:val="zh-CN"/>
        </w:rPr>
        <w:t>方法：</w:t>
      </w:r>
      <w:r w:rsidRPr="0001518D">
        <w:rPr>
          <w:rFonts w:ascii="楷体_GB2312" w:eastAsia="楷体_GB2312" w:cs="楷体_GB2312" w:hint="eastAsia"/>
          <w:color w:val="000000"/>
          <w:kern w:val="0"/>
          <w:sz w:val="18"/>
          <w:szCs w:val="18"/>
          <w:lang w:val="zh-CN"/>
        </w:rPr>
        <w:t>选取</w:t>
      </w:r>
      <w:r w:rsidRPr="0001518D">
        <w:rPr>
          <w:rFonts w:ascii="楷体_GB2312" w:eastAsia="楷体_GB2312" w:cs="楷体_GB2312"/>
          <w:color w:val="000000"/>
          <w:kern w:val="0"/>
          <w:sz w:val="18"/>
          <w:szCs w:val="18"/>
          <w:lang w:val="zh-CN"/>
        </w:rPr>
        <w:t>2016</w:t>
      </w:r>
      <w:r w:rsidRPr="0001518D">
        <w:rPr>
          <w:rFonts w:ascii="楷体_GB2312" w:eastAsia="楷体_GB2312" w:cs="楷体_GB2312" w:hint="eastAsia"/>
          <w:color w:val="000000"/>
          <w:kern w:val="0"/>
          <w:sz w:val="18"/>
          <w:szCs w:val="18"/>
          <w:lang w:val="zh-CN"/>
        </w:rPr>
        <w:t>年</w:t>
      </w:r>
      <w:r w:rsidRPr="0001518D">
        <w:rPr>
          <w:rFonts w:ascii="楷体_GB2312" w:eastAsia="楷体_GB2312" w:cs="楷体_GB2312"/>
          <w:color w:val="000000"/>
          <w:kern w:val="0"/>
          <w:sz w:val="18"/>
          <w:szCs w:val="18"/>
          <w:lang w:val="zh-CN"/>
        </w:rPr>
        <w:t>1</w:t>
      </w:r>
      <w:r w:rsidRPr="0001518D">
        <w:rPr>
          <w:rFonts w:ascii="楷体_GB2312" w:eastAsia="楷体_GB2312" w:cs="楷体_GB2312" w:hint="eastAsia"/>
          <w:color w:val="000000"/>
          <w:kern w:val="0"/>
          <w:sz w:val="18"/>
          <w:szCs w:val="18"/>
          <w:lang w:val="zh-CN"/>
        </w:rPr>
        <w:t>月</w:t>
      </w:r>
      <w:r w:rsidRPr="0001518D">
        <w:rPr>
          <w:rFonts w:ascii="楷体_GB2312" w:eastAsia="楷体_GB2312" w:cs="楷体_GB2312"/>
          <w:color w:val="000000"/>
          <w:kern w:val="0"/>
          <w:sz w:val="18"/>
          <w:szCs w:val="18"/>
          <w:lang w:val="zh-CN"/>
        </w:rPr>
        <w:t>-2020</w:t>
      </w:r>
      <w:r w:rsidRPr="0001518D">
        <w:rPr>
          <w:rFonts w:ascii="楷体_GB2312" w:eastAsia="楷体_GB2312" w:cs="楷体_GB2312" w:hint="eastAsia"/>
          <w:color w:val="000000"/>
          <w:kern w:val="0"/>
          <w:sz w:val="18"/>
          <w:szCs w:val="18"/>
          <w:lang w:val="zh-CN"/>
        </w:rPr>
        <w:t>年</w:t>
      </w:r>
      <w:r w:rsidRPr="0001518D">
        <w:rPr>
          <w:rFonts w:ascii="楷体_GB2312" w:eastAsia="楷体_GB2312" w:cs="楷体_GB2312"/>
          <w:color w:val="000000"/>
          <w:kern w:val="0"/>
          <w:sz w:val="18"/>
          <w:szCs w:val="18"/>
          <w:lang w:val="zh-CN"/>
        </w:rPr>
        <w:t>1</w:t>
      </w:r>
      <w:r w:rsidRPr="0001518D">
        <w:rPr>
          <w:rFonts w:ascii="楷体_GB2312" w:eastAsia="楷体_GB2312" w:cs="楷体_GB2312" w:hint="eastAsia"/>
          <w:color w:val="000000"/>
          <w:kern w:val="0"/>
          <w:sz w:val="18"/>
          <w:szCs w:val="18"/>
          <w:lang w:val="zh-CN"/>
        </w:rPr>
        <w:t>月笔者医院诊治的重度腋臭患者</w:t>
      </w:r>
      <w:r w:rsidRPr="0001518D">
        <w:rPr>
          <w:rFonts w:ascii="楷体_GB2312" w:eastAsia="楷体_GB2312" w:cs="楷体_GB2312"/>
          <w:color w:val="000000"/>
          <w:kern w:val="0"/>
          <w:sz w:val="18"/>
          <w:szCs w:val="18"/>
          <w:lang w:val="zh-CN"/>
        </w:rPr>
        <w:t>120</w:t>
      </w:r>
      <w:r w:rsidRPr="0001518D">
        <w:rPr>
          <w:rFonts w:ascii="楷体_GB2312" w:eastAsia="楷体_GB2312" w:cs="楷体_GB2312" w:hint="eastAsia"/>
          <w:color w:val="000000"/>
          <w:kern w:val="0"/>
          <w:sz w:val="18"/>
          <w:szCs w:val="18"/>
          <w:lang w:val="zh-CN"/>
        </w:rPr>
        <w:t>例为研究对象，根据患者意愿选择手术方式，分为传统手术组（行传统小切口腋下大汗腺切除术）和腔镜手术组（行腔镜腋下大汗腺精准切除术），各</w:t>
      </w:r>
      <w:r w:rsidRPr="0001518D">
        <w:rPr>
          <w:rFonts w:ascii="楷体_GB2312" w:eastAsia="楷体_GB2312" w:cs="楷体_GB2312"/>
          <w:color w:val="000000"/>
          <w:kern w:val="0"/>
          <w:sz w:val="18"/>
          <w:szCs w:val="18"/>
          <w:lang w:val="zh-CN"/>
        </w:rPr>
        <w:t>60</w:t>
      </w:r>
      <w:r w:rsidRPr="0001518D">
        <w:rPr>
          <w:rFonts w:ascii="楷体_GB2312" w:eastAsia="楷体_GB2312" w:cs="楷体_GB2312" w:hint="eastAsia"/>
          <w:color w:val="000000"/>
          <w:kern w:val="0"/>
          <w:sz w:val="18"/>
          <w:szCs w:val="18"/>
          <w:lang w:val="zh-CN"/>
        </w:rPr>
        <w:t>例。比较两组患者的治疗效果，观察两组手术时间、术后愈合时间、半年内复发率及并发症发生情况。</w:t>
      </w:r>
      <w:r w:rsidRPr="0001518D">
        <w:rPr>
          <w:rFonts w:ascii="黑体" w:eastAsia="黑体" w:cs="黑体" w:hint="eastAsia"/>
          <w:color w:val="000000"/>
          <w:kern w:val="0"/>
          <w:sz w:val="18"/>
          <w:szCs w:val="18"/>
          <w:lang w:val="zh-CN"/>
        </w:rPr>
        <w:t>结果：</w:t>
      </w:r>
      <w:r w:rsidRPr="0001518D">
        <w:rPr>
          <w:rFonts w:ascii="楷体_GB2312" w:eastAsia="楷体_GB2312" w:cs="楷体_GB2312" w:hint="eastAsia"/>
          <w:color w:val="000000"/>
          <w:kern w:val="0"/>
          <w:sz w:val="18"/>
          <w:szCs w:val="18"/>
          <w:lang w:val="zh-CN"/>
        </w:rPr>
        <w:t>腔镜手术组愈合时间为（</w:t>
      </w:r>
      <w:r w:rsidRPr="0001518D">
        <w:rPr>
          <w:rFonts w:ascii="楷体_GB2312" w:eastAsia="楷体_GB2312" w:cs="楷体_GB2312"/>
          <w:color w:val="000000"/>
          <w:kern w:val="0"/>
          <w:sz w:val="18"/>
          <w:szCs w:val="18"/>
          <w:lang w:val="zh-CN"/>
        </w:rPr>
        <w:t>10.78</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1.69</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d</w:t>
      </w:r>
      <w:r w:rsidRPr="0001518D">
        <w:rPr>
          <w:rFonts w:ascii="楷体_GB2312" w:eastAsia="楷体_GB2312" w:cs="楷体_GB2312" w:hint="eastAsia"/>
          <w:color w:val="000000"/>
          <w:kern w:val="0"/>
          <w:sz w:val="18"/>
          <w:szCs w:val="18"/>
          <w:lang w:val="zh-CN"/>
        </w:rPr>
        <w:t>，短于传统手术组的（</w:t>
      </w:r>
      <w:r w:rsidRPr="0001518D">
        <w:rPr>
          <w:rFonts w:ascii="楷体_GB2312" w:eastAsia="楷体_GB2312" w:cs="楷体_GB2312"/>
          <w:color w:val="000000"/>
          <w:kern w:val="0"/>
          <w:sz w:val="18"/>
          <w:szCs w:val="18"/>
          <w:lang w:val="zh-CN"/>
        </w:rPr>
        <w:t>14.65</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1.46</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d</w:t>
      </w:r>
      <w:r w:rsidRPr="0001518D">
        <w:rPr>
          <w:rFonts w:ascii="楷体_GB2312" w:eastAsia="楷体_GB2312" w:cs="楷体_GB2312" w:hint="eastAsia"/>
          <w:color w:val="000000"/>
          <w:kern w:val="0"/>
          <w:sz w:val="18"/>
          <w:szCs w:val="18"/>
          <w:lang w:val="zh-CN"/>
        </w:rPr>
        <w:t>，差异有统计学意义（</w:t>
      </w:r>
      <w:r w:rsidRPr="0001518D">
        <w:rPr>
          <w:rFonts w:ascii="楷体_GB2312" w:eastAsia="楷体_GB2312" w:cs="楷体_GB2312"/>
          <w:color w:val="000000"/>
          <w:kern w:val="0"/>
          <w:sz w:val="18"/>
          <w:szCs w:val="18"/>
          <w:lang w:val="zh-CN"/>
        </w:rPr>
        <w:t>P</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0.05</w:t>
      </w:r>
      <w:r w:rsidRPr="0001518D">
        <w:rPr>
          <w:rFonts w:ascii="楷体_GB2312" w:eastAsia="楷体_GB2312" w:cs="楷体_GB2312" w:hint="eastAsia"/>
          <w:color w:val="000000"/>
          <w:kern w:val="0"/>
          <w:sz w:val="18"/>
          <w:szCs w:val="18"/>
          <w:lang w:val="zh-CN"/>
        </w:rPr>
        <w:t>）。腔镜手术组术后有效率为</w:t>
      </w:r>
      <w:r w:rsidRPr="0001518D">
        <w:rPr>
          <w:rFonts w:ascii="楷体_GB2312" w:eastAsia="楷体_GB2312" w:cs="楷体_GB2312"/>
          <w:color w:val="000000"/>
          <w:kern w:val="0"/>
          <w:sz w:val="18"/>
          <w:szCs w:val="18"/>
          <w:lang w:val="zh-CN"/>
        </w:rPr>
        <w:t>100.00%</w:t>
      </w:r>
      <w:r w:rsidRPr="0001518D">
        <w:rPr>
          <w:rFonts w:ascii="楷体_GB2312" w:eastAsia="楷体_GB2312" w:cs="楷体_GB2312" w:hint="eastAsia"/>
          <w:color w:val="000000"/>
          <w:kern w:val="0"/>
          <w:sz w:val="18"/>
          <w:szCs w:val="18"/>
          <w:lang w:val="zh-CN"/>
        </w:rPr>
        <w:t>，高于传统手术组的</w:t>
      </w:r>
      <w:r w:rsidRPr="0001518D">
        <w:rPr>
          <w:rFonts w:ascii="楷体_GB2312" w:eastAsia="楷体_GB2312" w:cs="楷体_GB2312"/>
          <w:color w:val="000000"/>
          <w:kern w:val="0"/>
          <w:sz w:val="18"/>
          <w:szCs w:val="18"/>
          <w:lang w:val="zh-CN"/>
        </w:rPr>
        <w:t>90.00%</w:t>
      </w:r>
      <w:r w:rsidRPr="0001518D">
        <w:rPr>
          <w:rFonts w:ascii="楷体_GB2312" w:eastAsia="楷体_GB2312" w:cs="楷体_GB2312" w:hint="eastAsia"/>
          <w:color w:val="000000"/>
          <w:kern w:val="0"/>
          <w:sz w:val="18"/>
          <w:szCs w:val="18"/>
          <w:lang w:val="zh-CN"/>
        </w:rPr>
        <w:t>，差异有统计学意义（</w:t>
      </w:r>
      <w:r w:rsidRPr="0001518D">
        <w:rPr>
          <w:rFonts w:ascii="楷体_GB2312" w:eastAsia="楷体_GB2312" w:cs="楷体_GB2312"/>
          <w:color w:val="000000"/>
          <w:kern w:val="0"/>
          <w:sz w:val="18"/>
          <w:szCs w:val="18"/>
          <w:lang w:val="zh-CN"/>
        </w:rPr>
        <w:t>P</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0.05</w:t>
      </w:r>
      <w:r w:rsidRPr="0001518D">
        <w:rPr>
          <w:rFonts w:ascii="楷体_GB2312" w:eastAsia="楷体_GB2312" w:cs="楷体_GB2312" w:hint="eastAsia"/>
          <w:color w:val="000000"/>
          <w:kern w:val="0"/>
          <w:sz w:val="18"/>
          <w:szCs w:val="18"/>
          <w:lang w:val="zh-CN"/>
        </w:rPr>
        <w:t>）。腔镜手术组并发症发生率明显低于传统手术组，患者满意度高于传统手术组，差异有统计学意义（</w:t>
      </w:r>
      <w:r w:rsidRPr="0001518D">
        <w:rPr>
          <w:rFonts w:ascii="楷体_GB2312" w:eastAsia="楷体_GB2312" w:cs="楷体_GB2312"/>
          <w:color w:val="000000"/>
          <w:kern w:val="0"/>
          <w:sz w:val="18"/>
          <w:szCs w:val="18"/>
          <w:lang w:val="zh-CN"/>
        </w:rPr>
        <w:t>P</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0.05</w:t>
      </w:r>
      <w:r w:rsidRPr="0001518D">
        <w:rPr>
          <w:rFonts w:ascii="楷体_GB2312" w:eastAsia="楷体_GB2312" w:cs="楷体_GB2312" w:hint="eastAsia"/>
          <w:color w:val="000000"/>
          <w:kern w:val="0"/>
          <w:sz w:val="18"/>
          <w:szCs w:val="18"/>
          <w:lang w:val="zh-CN"/>
        </w:rPr>
        <w:t>）。</w:t>
      </w:r>
      <w:r w:rsidRPr="0001518D">
        <w:rPr>
          <w:rFonts w:ascii="黑体" w:eastAsia="黑体" w:cs="黑体" w:hint="eastAsia"/>
          <w:color w:val="000000"/>
          <w:kern w:val="0"/>
          <w:sz w:val="18"/>
          <w:szCs w:val="18"/>
          <w:lang w:val="zh-CN"/>
        </w:rPr>
        <w:t>结论：</w:t>
      </w:r>
      <w:r w:rsidRPr="0001518D">
        <w:rPr>
          <w:rFonts w:ascii="楷体_GB2312" w:eastAsia="楷体_GB2312" w:cs="楷体_GB2312" w:hint="eastAsia"/>
          <w:color w:val="000000"/>
          <w:kern w:val="0"/>
          <w:sz w:val="18"/>
          <w:szCs w:val="18"/>
          <w:lang w:val="zh-CN"/>
        </w:rPr>
        <w:t>腔镜腋下大汗腺精准切除术对重度腋臭患者的治疗效果较好，术后愈合早，损伤小，患者满意度高，具有良好的应用价值。</w:t>
      </w:r>
    </w:p>
    <w:p w14:paraId="0392FE0C" w14:textId="77777777" w:rsidR="0001518D" w:rsidRPr="0001518D" w:rsidRDefault="0001518D" w:rsidP="0001518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关键词</w:t>
      </w:r>
      <w:r w:rsidRPr="0001518D">
        <w:rPr>
          <w:rFonts w:ascii="黑体" w:eastAsia="黑体" w:cs="黑体"/>
          <w:color w:val="000000"/>
          <w:kern w:val="0"/>
          <w:sz w:val="18"/>
          <w:szCs w:val="18"/>
          <w:lang w:val="zh-CN"/>
        </w:rPr>
        <w:t>]</w:t>
      </w:r>
      <w:r w:rsidRPr="0001518D">
        <w:rPr>
          <w:rFonts w:ascii="楷体_GB2312" w:eastAsia="楷体_GB2312" w:cs="楷体_GB2312" w:hint="eastAsia"/>
          <w:color w:val="000000"/>
          <w:kern w:val="0"/>
          <w:sz w:val="18"/>
          <w:szCs w:val="18"/>
          <w:lang w:val="zh-CN"/>
        </w:rPr>
        <w:t>腋臭；腔镜手术；精准；并发症；瘢痕；复发</w:t>
      </w:r>
    </w:p>
    <w:p w14:paraId="3928C277" w14:textId="77777777" w:rsidR="0001518D" w:rsidRPr="0001518D" w:rsidRDefault="0001518D" w:rsidP="0001518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中图分类号</w:t>
      </w:r>
      <w:r w:rsidRPr="0001518D">
        <w:rPr>
          <w:rFonts w:ascii="黑体" w:eastAsia="黑体" w:cs="黑体"/>
          <w:color w:val="000000"/>
          <w:kern w:val="0"/>
          <w:sz w:val="18"/>
          <w:szCs w:val="18"/>
          <w:lang w:val="zh-CN"/>
        </w:rPr>
        <w:t>]</w:t>
      </w:r>
      <w:r w:rsidRPr="0001518D">
        <w:rPr>
          <w:rFonts w:ascii="楷体_GB2312" w:eastAsia="楷体_GB2312" w:cs="楷体_GB2312"/>
          <w:color w:val="000000"/>
          <w:kern w:val="0"/>
          <w:sz w:val="18"/>
          <w:szCs w:val="18"/>
          <w:lang w:val="zh-CN"/>
        </w:rPr>
        <w:t>R758.74</w:t>
      </w:r>
      <w:r w:rsidRPr="0001518D">
        <w:rPr>
          <w:rFonts w:ascii="楷体_GB2312" w:eastAsia="楷体_GB2312" w:cs="楷体_GB2312"/>
          <w:color w:val="000000"/>
          <w:kern w:val="0"/>
          <w:sz w:val="18"/>
          <w:szCs w:val="18"/>
          <w:vertAlign w:val="superscript"/>
          <w:lang w:val="zh-CN"/>
        </w:rPr>
        <w:t>+</w:t>
      </w:r>
      <w:r w:rsidRPr="0001518D">
        <w:rPr>
          <w:rFonts w:ascii="楷体_GB2312" w:eastAsia="楷体_GB2312" w:cs="楷体_GB2312"/>
          <w:color w:val="000000"/>
          <w:kern w:val="0"/>
          <w:sz w:val="18"/>
          <w:szCs w:val="18"/>
          <w:lang w:val="zh-CN"/>
        </w:rPr>
        <w:t xml:space="preserve">1    </w:t>
      </w: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文献标志码</w:t>
      </w:r>
      <w:r w:rsidRPr="0001518D">
        <w:rPr>
          <w:rFonts w:ascii="黑体" w:eastAsia="黑体" w:cs="黑体"/>
          <w:color w:val="000000"/>
          <w:kern w:val="0"/>
          <w:sz w:val="18"/>
          <w:szCs w:val="18"/>
          <w:lang w:val="zh-CN"/>
        </w:rPr>
        <w:t>]</w:t>
      </w:r>
      <w:r w:rsidRPr="0001518D">
        <w:rPr>
          <w:rFonts w:ascii="楷体_GB2312" w:eastAsia="楷体_GB2312" w:cs="楷体_GB2312"/>
          <w:color w:val="000000"/>
          <w:kern w:val="0"/>
          <w:sz w:val="18"/>
          <w:szCs w:val="18"/>
          <w:lang w:val="zh-CN"/>
        </w:rPr>
        <w:t xml:space="preserve">A    </w:t>
      </w:r>
      <w:r w:rsidRPr="0001518D">
        <w:rPr>
          <w:rFonts w:ascii="黑体" w:eastAsia="黑体" w:cs="黑体"/>
          <w:color w:val="000000"/>
          <w:kern w:val="0"/>
          <w:sz w:val="18"/>
          <w:szCs w:val="18"/>
          <w:lang w:val="zh-CN"/>
        </w:rPr>
        <w:t>[</w:t>
      </w:r>
      <w:r w:rsidRPr="0001518D">
        <w:rPr>
          <w:rFonts w:ascii="黑体" w:eastAsia="黑体" w:cs="黑体" w:hint="eastAsia"/>
          <w:color w:val="000000"/>
          <w:kern w:val="0"/>
          <w:sz w:val="18"/>
          <w:szCs w:val="18"/>
          <w:lang w:val="zh-CN"/>
        </w:rPr>
        <w:t>文章编号</w:t>
      </w:r>
      <w:r w:rsidRPr="0001518D">
        <w:rPr>
          <w:rFonts w:ascii="黑体" w:eastAsia="黑体" w:cs="黑体"/>
          <w:color w:val="000000"/>
          <w:kern w:val="0"/>
          <w:sz w:val="18"/>
          <w:szCs w:val="18"/>
          <w:lang w:val="zh-CN"/>
        </w:rPr>
        <w:t>]</w:t>
      </w:r>
      <w:r w:rsidRPr="0001518D">
        <w:rPr>
          <w:rFonts w:ascii="楷体_GB2312" w:eastAsia="楷体_GB2312" w:cs="楷体_GB2312"/>
          <w:color w:val="000000"/>
          <w:kern w:val="0"/>
          <w:sz w:val="18"/>
          <w:szCs w:val="18"/>
          <w:lang w:val="zh-CN"/>
        </w:rPr>
        <w:t>1008-6455</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2022</w:t>
      </w:r>
      <w:r w:rsidRPr="0001518D">
        <w:rPr>
          <w:rFonts w:ascii="楷体_GB2312" w:eastAsia="楷体_GB2312" w:cs="楷体_GB2312" w:hint="eastAsia"/>
          <w:color w:val="000000"/>
          <w:kern w:val="0"/>
          <w:sz w:val="18"/>
          <w:szCs w:val="18"/>
          <w:lang w:val="zh-CN"/>
        </w:rPr>
        <w:t>）</w:t>
      </w:r>
      <w:r w:rsidRPr="0001518D">
        <w:rPr>
          <w:rFonts w:ascii="楷体_GB2312" w:eastAsia="楷体_GB2312" w:cs="楷体_GB2312"/>
          <w:color w:val="000000"/>
          <w:kern w:val="0"/>
          <w:sz w:val="18"/>
          <w:szCs w:val="18"/>
          <w:lang w:val="zh-CN"/>
        </w:rPr>
        <w:t>04-0063-03</w:t>
      </w:r>
    </w:p>
    <w:p w14:paraId="6BB91A3B" w14:textId="77777777" w:rsidR="0001518D" w:rsidRPr="0001518D" w:rsidRDefault="0001518D" w:rsidP="0001518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373042D1" w14:textId="77777777" w:rsidR="0001518D" w:rsidRPr="0001518D" w:rsidRDefault="0001518D" w:rsidP="0001518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01518D">
        <w:rPr>
          <w:rFonts w:ascii="ITC Avant Garde Gothic Demi" w:eastAsia="方正小标宋_GBK" w:hAnsi="ITC Avant Garde Gothic Demi" w:cs="ITC Avant Garde Gothic Demi"/>
          <w:color w:val="920883"/>
          <w:kern w:val="0"/>
          <w:sz w:val="24"/>
          <w:szCs w:val="24"/>
        </w:rPr>
        <w:t>Effect of Precise Resection of Axillary Apocrine Glands by Endoscopy in Patients with Severe Axillary Bromhidrosis</w:t>
      </w:r>
    </w:p>
    <w:p w14:paraId="51802FA8" w14:textId="77777777" w:rsidR="0001518D" w:rsidRPr="0001518D" w:rsidRDefault="0001518D" w:rsidP="0001518D">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01518D">
        <w:rPr>
          <w:rFonts w:ascii="方正兰亭中黑_GBK" w:eastAsia="方正兰亭中黑_GBK" w:cs="方正兰亭中黑_GBK"/>
          <w:color w:val="000000"/>
          <w:kern w:val="0"/>
          <w:sz w:val="18"/>
          <w:szCs w:val="18"/>
        </w:rPr>
        <w:t>LIU Na</w:t>
      </w:r>
      <w:r w:rsidRPr="0001518D">
        <w:rPr>
          <w:rFonts w:ascii="方正兰亭中黑_GBK" w:eastAsia="方正兰亭中黑_GBK" w:cs="方正兰亭中黑_GBK"/>
          <w:color w:val="000000"/>
          <w:kern w:val="0"/>
          <w:sz w:val="18"/>
          <w:szCs w:val="18"/>
          <w:vertAlign w:val="superscript"/>
        </w:rPr>
        <w:t>1</w:t>
      </w:r>
      <w:r w:rsidRPr="0001518D">
        <w:rPr>
          <w:rFonts w:ascii="方正兰亭中黑_GBK" w:eastAsia="方正兰亭中黑_GBK" w:cs="方正兰亭中黑_GBK"/>
          <w:color w:val="000000"/>
          <w:kern w:val="0"/>
          <w:sz w:val="18"/>
          <w:szCs w:val="18"/>
        </w:rPr>
        <w:t>,YU Bingbing</w:t>
      </w:r>
      <w:r w:rsidRPr="0001518D">
        <w:rPr>
          <w:rFonts w:ascii="方正兰亭中黑_GBK" w:eastAsia="方正兰亭中黑_GBK" w:cs="方正兰亭中黑_GBK"/>
          <w:color w:val="000000"/>
          <w:kern w:val="0"/>
          <w:sz w:val="18"/>
          <w:szCs w:val="18"/>
          <w:vertAlign w:val="superscript"/>
        </w:rPr>
        <w:t>2</w:t>
      </w:r>
      <w:r w:rsidRPr="0001518D">
        <w:rPr>
          <w:rFonts w:ascii="方正兰亭中黑_GBK" w:eastAsia="方正兰亭中黑_GBK" w:cs="方正兰亭中黑_GBK"/>
          <w:color w:val="000000"/>
          <w:kern w:val="0"/>
          <w:sz w:val="18"/>
          <w:szCs w:val="18"/>
        </w:rPr>
        <w:t>,LIU Jing</w:t>
      </w:r>
      <w:r w:rsidRPr="0001518D">
        <w:rPr>
          <w:rFonts w:ascii="方正兰亭中黑_GBK" w:eastAsia="方正兰亭中黑_GBK" w:cs="方正兰亭中黑_GBK"/>
          <w:color w:val="000000"/>
          <w:kern w:val="0"/>
          <w:sz w:val="18"/>
          <w:szCs w:val="18"/>
          <w:vertAlign w:val="superscript"/>
        </w:rPr>
        <w:t>3</w:t>
      </w:r>
    </w:p>
    <w:p w14:paraId="3DB110CE" w14:textId="77777777" w:rsidR="0001518D" w:rsidRPr="0001518D" w:rsidRDefault="0001518D" w:rsidP="0001518D">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01518D">
        <w:rPr>
          <w:rFonts w:ascii="Times New Roman" w:eastAsia="方正小标宋_GBK" w:hAnsi="Times New Roman" w:cs="Times New Roman"/>
          <w:color w:val="000000"/>
          <w:kern w:val="0"/>
          <w:sz w:val="19"/>
          <w:szCs w:val="19"/>
        </w:rPr>
        <w:t>(1.Depart</w:t>
      </w:r>
      <w:r w:rsidRPr="0001518D">
        <w:rPr>
          <w:rFonts w:ascii="Times New Roman" w:eastAsia="方正小标宋_GBK" w:hAnsi="Times New Roman" w:cs="Times New Roman"/>
          <w:color w:val="000000"/>
          <w:spacing w:val="-4"/>
          <w:kern w:val="0"/>
          <w:sz w:val="19"/>
          <w:szCs w:val="19"/>
        </w:rPr>
        <w:t>ment of Breast,Beijing Electric Power Hospital,Beijing 100073,China;2.Department of Hepatobiliary Surgery,Rockets Specialty Medical Center,Beijing 100088,China;3.Department of Surgery,Beijing United Family Hospital,Beijing 100015,China)</w:t>
      </w:r>
    </w:p>
    <w:p w14:paraId="4CDE8155" w14:textId="77777777" w:rsidR="0001518D" w:rsidRPr="0001518D" w:rsidRDefault="0001518D" w:rsidP="0001518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0F147332" w14:textId="77777777" w:rsidR="0001518D" w:rsidRPr="0001518D" w:rsidRDefault="0001518D" w:rsidP="0001518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01518D">
        <w:rPr>
          <w:rFonts w:ascii="Didot HTF-B06-" w:eastAsia="方正小标宋_GBK" w:hAnsi="Didot HTF-B06-" w:cs="Didot HTF-B06-"/>
          <w:b/>
          <w:bCs/>
          <w:color w:val="000000"/>
          <w:kern w:val="0"/>
          <w:sz w:val="19"/>
          <w:szCs w:val="19"/>
        </w:rPr>
        <w:t xml:space="preserve">Abstract: Objective </w:t>
      </w:r>
      <w:r w:rsidRPr="0001518D">
        <w:rPr>
          <w:rFonts w:ascii="Times New Roman" w:eastAsia="方正小标宋_GBK" w:hAnsi="Times New Roman" w:cs="Times New Roman"/>
          <w:color w:val="000000"/>
          <w:kern w:val="0"/>
          <w:sz w:val="19"/>
          <w:szCs w:val="19"/>
        </w:rPr>
        <w:t xml:space="preserve"> To observe the therapeutic effect of laparoscopic precision axillary apocrine excision on patients with severe axillary bromhidrosis, and its influence on the recurrence rate and complication rate. </w:t>
      </w:r>
      <w:r w:rsidRPr="0001518D">
        <w:rPr>
          <w:rFonts w:ascii="Didot HTF-B06-" w:eastAsia="方正小标宋_GBK" w:hAnsi="Didot HTF-B06-" w:cs="Didot HTF-B06-"/>
          <w:b/>
          <w:bCs/>
          <w:color w:val="000000"/>
          <w:kern w:val="0"/>
          <w:sz w:val="19"/>
          <w:szCs w:val="19"/>
        </w:rPr>
        <w:t xml:space="preserve">Methods </w:t>
      </w:r>
      <w:r w:rsidRPr="0001518D">
        <w:rPr>
          <w:rFonts w:ascii="Times New Roman" w:eastAsia="方正小标宋_GBK" w:hAnsi="Times New Roman" w:cs="Times New Roman"/>
          <w:color w:val="000000"/>
          <w:kern w:val="0"/>
          <w:sz w:val="19"/>
          <w:szCs w:val="19"/>
        </w:rPr>
        <w:t xml:space="preserve"> 120 patients with severe axillary bromhidrosis treated in our hospital from January 2016 to January 2020 were selected as the research subjects. According to the wishes of patients, the surgical methods were selected and divided into the traditional surgery group (traditional small incision axillary apocrine gland resection) and the endoscopic surgery group (endoscopic axillary sweat gland precise resection), with 60 cases in each group. The therapeutic effects of the two groups were compared. The operation time, postoperative healing time, recurrence rate within half a year and incidence of complications were observed. </w:t>
      </w:r>
      <w:r w:rsidRPr="0001518D">
        <w:rPr>
          <w:rFonts w:ascii="Didot HTF-B06-" w:eastAsia="方正小标宋_GBK" w:hAnsi="Didot HTF-B06-" w:cs="Didot HTF-B06-"/>
          <w:b/>
          <w:bCs/>
          <w:color w:val="000000"/>
          <w:kern w:val="0"/>
          <w:sz w:val="19"/>
          <w:szCs w:val="19"/>
        </w:rPr>
        <w:t>Results</w:t>
      </w:r>
      <w:r w:rsidRPr="0001518D">
        <w:rPr>
          <w:rFonts w:ascii="Times New Roman" w:eastAsia="方正小标宋_GBK" w:hAnsi="Times New Roman" w:cs="Times New Roman"/>
          <w:color w:val="000000"/>
          <w:kern w:val="0"/>
          <w:sz w:val="19"/>
          <w:szCs w:val="19"/>
        </w:rPr>
        <w:t xml:space="preserve">  The healing time of the endoscopic surgery group was (10.78±1.69) d, which was slightly shorter than that of the traditional surgery group (14.65±1.46) d, the difference was statistically significant (P</w:t>
      </w:r>
      <w:r w:rsidRPr="0001518D">
        <w:rPr>
          <w:rFonts w:ascii="宋体" w:eastAsia="宋体" w:hAnsi="Times New Roman" w:cs="宋体" w:hint="eastAsia"/>
          <w:color w:val="000000"/>
          <w:kern w:val="0"/>
          <w:sz w:val="19"/>
          <w:szCs w:val="19"/>
        </w:rPr>
        <w:t>＜</w:t>
      </w:r>
      <w:r w:rsidRPr="0001518D">
        <w:rPr>
          <w:rFonts w:ascii="Times New Roman" w:eastAsia="方正小标宋_GBK" w:hAnsi="Times New Roman" w:cs="Times New Roman"/>
          <w:color w:val="000000"/>
          <w:kern w:val="0"/>
          <w:sz w:val="19"/>
          <w:szCs w:val="19"/>
        </w:rPr>
        <w:t>0.05). The postoperative effective rate o</w:t>
      </w:r>
      <w:r w:rsidRPr="0001518D">
        <w:rPr>
          <w:rFonts w:ascii="Times New Roman" w:eastAsia="方正小标宋_GBK" w:hAnsi="Times New Roman" w:cs="Times New Roman"/>
          <w:color w:val="000000"/>
          <w:spacing w:val="8"/>
          <w:kern w:val="0"/>
          <w:sz w:val="19"/>
          <w:szCs w:val="19"/>
        </w:rPr>
        <w:t>f the endoscopic surgery group was 100.00%, higher than that of the traditional surgery group (90.00%, P</w:t>
      </w:r>
      <w:r w:rsidRPr="0001518D">
        <w:rPr>
          <w:rFonts w:ascii="宋体" w:eastAsia="宋体" w:hAnsi="Times New Roman" w:cs="宋体" w:hint="eastAsia"/>
          <w:color w:val="000000"/>
          <w:spacing w:val="8"/>
          <w:kern w:val="0"/>
          <w:sz w:val="19"/>
          <w:szCs w:val="19"/>
        </w:rPr>
        <w:t>＜</w:t>
      </w:r>
      <w:r w:rsidRPr="0001518D">
        <w:rPr>
          <w:rFonts w:ascii="Times New Roman" w:eastAsia="方正小标宋_GBK" w:hAnsi="Times New Roman" w:cs="Times New Roman"/>
          <w:color w:val="000000"/>
          <w:spacing w:val="8"/>
          <w:kern w:val="0"/>
          <w:sz w:val="19"/>
          <w:szCs w:val="19"/>
        </w:rPr>
        <w:t>0.05). The incidenc</w:t>
      </w:r>
      <w:r w:rsidRPr="0001518D">
        <w:rPr>
          <w:rFonts w:ascii="Times New Roman" w:eastAsia="方正小标宋_GBK" w:hAnsi="Times New Roman" w:cs="Times New Roman"/>
          <w:color w:val="000000"/>
          <w:kern w:val="0"/>
          <w:sz w:val="19"/>
          <w:szCs w:val="19"/>
        </w:rPr>
        <w:t>e of complications in the endoscopic surgery group was significantly lower than that in the traditional surgery group (P</w:t>
      </w:r>
      <w:r w:rsidRPr="0001518D">
        <w:rPr>
          <w:rFonts w:ascii="宋体" w:eastAsia="宋体" w:hAnsi="Times New Roman" w:cs="宋体" w:hint="eastAsia"/>
          <w:color w:val="000000"/>
          <w:spacing w:val="11"/>
          <w:kern w:val="0"/>
          <w:sz w:val="19"/>
          <w:szCs w:val="19"/>
        </w:rPr>
        <w:t>＜</w:t>
      </w:r>
      <w:r w:rsidRPr="0001518D">
        <w:rPr>
          <w:rFonts w:ascii="Times New Roman" w:eastAsia="方正小标宋_GBK" w:hAnsi="Times New Roman" w:cs="Times New Roman"/>
          <w:color w:val="000000"/>
          <w:spacing w:val="11"/>
          <w:kern w:val="0"/>
          <w:sz w:val="19"/>
          <w:szCs w:val="19"/>
        </w:rPr>
        <w:t>0.05). The patients, satisfaction in the endoscopic surgery group was higher than that in the traditional surgery group (P</w:t>
      </w:r>
      <w:r w:rsidRPr="0001518D">
        <w:rPr>
          <w:rFonts w:ascii="宋体" w:eastAsia="宋体" w:hAnsi="Times New Roman" w:cs="宋体" w:hint="eastAsia"/>
          <w:color w:val="000000"/>
          <w:spacing w:val="11"/>
          <w:kern w:val="0"/>
          <w:sz w:val="19"/>
          <w:szCs w:val="19"/>
        </w:rPr>
        <w:t>＜</w:t>
      </w:r>
      <w:r w:rsidRPr="0001518D">
        <w:rPr>
          <w:rFonts w:ascii="Times New Roman" w:eastAsia="方正小标宋_GBK" w:hAnsi="Times New Roman" w:cs="Times New Roman"/>
          <w:color w:val="000000"/>
          <w:spacing w:val="11"/>
          <w:kern w:val="0"/>
          <w:sz w:val="19"/>
          <w:szCs w:val="19"/>
        </w:rPr>
        <w:t xml:space="preserve">0.05). </w:t>
      </w:r>
      <w:r w:rsidRPr="0001518D">
        <w:rPr>
          <w:rFonts w:ascii="Didot HTF-B06-" w:eastAsia="方正小标宋_GBK" w:hAnsi="Didot HTF-B06-" w:cs="Didot HTF-B06-"/>
          <w:b/>
          <w:bCs/>
          <w:color w:val="000000"/>
          <w:kern w:val="0"/>
          <w:sz w:val="19"/>
          <w:szCs w:val="19"/>
        </w:rPr>
        <w:t xml:space="preserve">Conclusion  </w:t>
      </w:r>
      <w:r w:rsidRPr="0001518D">
        <w:rPr>
          <w:rFonts w:ascii="Times New Roman" w:eastAsia="方正小标宋_GBK" w:hAnsi="Times New Roman" w:cs="Times New Roman"/>
          <w:color w:val="000000"/>
          <w:kern w:val="0"/>
          <w:sz w:val="19"/>
          <w:szCs w:val="19"/>
        </w:rPr>
        <w:t>Endoscopic axillary sweat gland precise resection for patients with severe axillary bromhidrosis has good therapeutic effect, early postoperative healing, small injury, high patient satisfaction, and has good application value.</w:t>
      </w:r>
    </w:p>
    <w:p w14:paraId="1E940C6C" w14:textId="77777777" w:rsidR="0001518D" w:rsidRPr="0001518D" w:rsidRDefault="0001518D" w:rsidP="0001518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01518D">
        <w:rPr>
          <w:rFonts w:ascii="Didot HTF-B06-" w:eastAsia="方正小标宋_GBK" w:hAnsi="Didot HTF-B06-" w:cs="Didot HTF-B06-"/>
          <w:b/>
          <w:bCs/>
          <w:color w:val="000000"/>
          <w:kern w:val="0"/>
          <w:sz w:val="19"/>
          <w:szCs w:val="19"/>
        </w:rPr>
        <w:t xml:space="preserve">Key words: </w:t>
      </w:r>
      <w:r w:rsidRPr="0001518D">
        <w:rPr>
          <w:rFonts w:ascii="Times New Roman" w:eastAsia="方正小标宋_GBK" w:hAnsi="Times New Roman" w:cs="Times New Roman"/>
          <w:color w:val="000000"/>
          <w:kern w:val="0"/>
          <w:sz w:val="19"/>
          <w:szCs w:val="19"/>
        </w:rPr>
        <w:t>axillary bromhidrosis; endoscopic surgery; accuracy; complication; scar; recrudescence</w:t>
      </w:r>
    </w:p>
    <w:p w14:paraId="3BA1F469" w14:textId="342C5459" w:rsidR="00BA7C01" w:rsidRPr="0001518D" w:rsidRDefault="00BA7C01" w:rsidP="0001518D"/>
    <w:sectPr w:rsidR="00BA7C01" w:rsidRPr="0001518D"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E5BED" w14:textId="77777777" w:rsidR="00BC4EAB" w:rsidRDefault="00BC4EAB" w:rsidP="00D23F7F">
      <w:r>
        <w:separator/>
      </w:r>
    </w:p>
  </w:endnote>
  <w:endnote w:type="continuationSeparator" w:id="0">
    <w:p w14:paraId="706F9C23" w14:textId="77777777" w:rsidR="00BC4EAB" w:rsidRDefault="00BC4EAB"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B6714" w14:textId="77777777" w:rsidR="00BC4EAB" w:rsidRDefault="00BC4EAB" w:rsidP="00D23F7F">
      <w:r>
        <w:separator/>
      </w:r>
    </w:p>
  </w:footnote>
  <w:footnote w:type="continuationSeparator" w:id="0">
    <w:p w14:paraId="6474EDAC" w14:textId="77777777" w:rsidR="00BC4EAB" w:rsidRDefault="00BC4EAB"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40D5D"/>
    <w:rsid w:val="00046274"/>
    <w:rsid w:val="00053A3C"/>
    <w:rsid w:val="00073129"/>
    <w:rsid w:val="000A50FC"/>
    <w:rsid w:val="000C42BF"/>
    <w:rsid w:val="0013362D"/>
    <w:rsid w:val="0015046F"/>
    <w:rsid w:val="001A0B15"/>
    <w:rsid w:val="001A1019"/>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05C2"/>
    <w:rsid w:val="007D3248"/>
    <w:rsid w:val="007E70D7"/>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C4EAB"/>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910</TotalTime>
  <Pages>1</Pages>
  <Words>424</Words>
  <Characters>2422</Characters>
  <Application>Microsoft Office Word</Application>
  <DocSecurity>0</DocSecurity>
  <Lines>20</Lines>
  <Paragraphs>5</Paragraphs>
  <ScaleCrop>false</ScaleCrop>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107</cp:revision>
  <dcterms:created xsi:type="dcterms:W3CDTF">2022-03-07T01:53:00Z</dcterms:created>
  <dcterms:modified xsi:type="dcterms:W3CDTF">2022-05-05T03:11:00Z</dcterms:modified>
</cp:coreProperties>
</file>