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1D735" w14:textId="77777777" w:rsidR="009D605B" w:rsidRPr="009D605B" w:rsidRDefault="009D605B" w:rsidP="009D605B">
      <w:pPr>
        <w:autoSpaceDE w:val="0"/>
        <w:autoSpaceDN w:val="0"/>
        <w:adjustRightInd w:val="0"/>
        <w:spacing w:line="400" w:lineRule="atLeast"/>
        <w:jc w:val="center"/>
        <w:textAlignment w:val="center"/>
        <w:rPr>
          <w:rFonts w:ascii="方正小标宋_GBK" w:eastAsia="方正小标宋_GBK" w:cs="方正小标宋_GBK"/>
          <w:color w:val="000000"/>
          <w:kern w:val="0"/>
          <w:sz w:val="30"/>
          <w:szCs w:val="30"/>
          <w:lang w:val="zh-CN"/>
        </w:rPr>
      </w:pPr>
      <w:r w:rsidRPr="009D605B">
        <w:rPr>
          <w:rFonts w:ascii="方正小标宋_GBK" w:eastAsia="方正小标宋_GBK" w:cs="方正小标宋_GBK" w:hint="eastAsia"/>
          <w:color w:val="000000"/>
          <w:kern w:val="0"/>
          <w:sz w:val="30"/>
          <w:szCs w:val="30"/>
          <w:lang w:val="zh-CN"/>
        </w:rPr>
        <w:t>良愿前置理论下的围术期宣教在自体脂肪移植术面部</w:t>
      </w:r>
    </w:p>
    <w:p w14:paraId="1A79F694" w14:textId="77777777" w:rsidR="009D605B" w:rsidRPr="009D605B" w:rsidRDefault="009D605B" w:rsidP="009D605B">
      <w:pPr>
        <w:autoSpaceDE w:val="0"/>
        <w:autoSpaceDN w:val="0"/>
        <w:adjustRightInd w:val="0"/>
        <w:spacing w:line="400" w:lineRule="atLeast"/>
        <w:jc w:val="center"/>
        <w:textAlignment w:val="center"/>
        <w:rPr>
          <w:rFonts w:ascii="方正小标宋_GBK" w:eastAsia="方正小标宋_GBK" w:cs="方正小标宋_GBK"/>
          <w:color w:val="7F00FF"/>
          <w:kern w:val="0"/>
          <w:sz w:val="30"/>
          <w:szCs w:val="30"/>
          <w:lang w:val="zh-CN"/>
        </w:rPr>
      </w:pPr>
      <w:r w:rsidRPr="009D605B">
        <w:rPr>
          <w:rFonts w:ascii="方正小标宋_GBK" w:eastAsia="方正小标宋_GBK" w:cs="方正小标宋_GBK" w:hint="eastAsia"/>
          <w:color w:val="000000"/>
          <w:kern w:val="0"/>
          <w:sz w:val="30"/>
          <w:szCs w:val="30"/>
          <w:lang w:val="zh-CN"/>
        </w:rPr>
        <w:t>年轻化中的应用</w:t>
      </w:r>
    </w:p>
    <w:p w14:paraId="53F55C03" w14:textId="77777777" w:rsidR="009D605B" w:rsidRPr="009D605B" w:rsidRDefault="009D605B" w:rsidP="009D605B">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9D605B">
        <w:rPr>
          <w:rFonts w:ascii="方正楷体_GBK" w:eastAsia="方正楷体_GBK" w:cs="方正楷体_GBK" w:hint="eastAsia"/>
          <w:color w:val="000000"/>
          <w:kern w:val="0"/>
          <w:sz w:val="24"/>
          <w:szCs w:val="24"/>
          <w:lang w:val="zh-CN"/>
        </w:rPr>
        <w:t>彭</w:t>
      </w:r>
      <w:r w:rsidRPr="009D605B">
        <w:rPr>
          <w:rFonts w:ascii="方正楷体_GBK" w:eastAsia="方正楷体_GBK" w:cs="方正楷体_GBK"/>
          <w:color w:val="000000"/>
          <w:kern w:val="0"/>
          <w:sz w:val="24"/>
          <w:szCs w:val="24"/>
          <w:lang w:val="zh-CN"/>
        </w:rPr>
        <w:t xml:space="preserve"> </w:t>
      </w:r>
      <w:r w:rsidRPr="009D605B">
        <w:rPr>
          <w:rFonts w:ascii="方正楷体_GBK" w:eastAsia="方正楷体_GBK" w:cs="方正楷体_GBK" w:hint="eastAsia"/>
          <w:color w:val="000000"/>
          <w:kern w:val="0"/>
          <w:sz w:val="24"/>
          <w:szCs w:val="24"/>
          <w:lang w:val="zh-CN"/>
        </w:rPr>
        <w:t>翼，郝晓艳，郭</w:t>
      </w:r>
      <w:r w:rsidRPr="009D605B">
        <w:rPr>
          <w:rFonts w:ascii="方正楷体_GBK" w:eastAsia="方正楷体_GBK" w:cs="方正楷体_GBK"/>
          <w:color w:val="000000"/>
          <w:kern w:val="0"/>
          <w:sz w:val="24"/>
          <w:szCs w:val="24"/>
          <w:lang w:val="zh-CN"/>
        </w:rPr>
        <w:t xml:space="preserve"> </w:t>
      </w:r>
      <w:r w:rsidRPr="009D605B">
        <w:rPr>
          <w:rFonts w:ascii="方正楷体_GBK" w:eastAsia="方正楷体_GBK" w:cs="方正楷体_GBK" w:hint="eastAsia"/>
          <w:color w:val="000000"/>
          <w:kern w:val="0"/>
          <w:sz w:val="24"/>
          <w:szCs w:val="24"/>
          <w:lang w:val="zh-CN"/>
        </w:rPr>
        <w:t>媛，张雪琴，王</w:t>
      </w:r>
      <w:r w:rsidRPr="009D605B">
        <w:rPr>
          <w:rFonts w:ascii="方正楷体_GBK" w:eastAsia="方正楷体_GBK" w:cs="方正楷体_GBK"/>
          <w:color w:val="000000"/>
          <w:kern w:val="0"/>
          <w:sz w:val="24"/>
          <w:szCs w:val="24"/>
          <w:lang w:val="zh-CN"/>
        </w:rPr>
        <w:t xml:space="preserve"> </w:t>
      </w:r>
      <w:r w:rsidRPr="009D605B">
        <w:rPr>
          <w:rFonts w:ascii="方正楷体_GBK" w:eastAsia="方正楷体_GBK" w:cs="方正楷体_GBK" w:hint="eastAsia"/>
          <w:color w:val="000000"/>
          <w:kern w:val="0"/>
          <w:sz w:val="24"/>
          <w:szCs w:val="24"/>
          <w:lang w:val="zh-CN"/>
        </w:rPr>
        <w:t>娟，李</w:t>
      </w:r>
      <w:r w:rsidRPr="009D605B">
        <w:rPr>
          <w:rFonts w:ascii="方正楷体_GBK" w:eastAsia="方正楷体_GBK" w:cs="方正楷体_GBK"/>
          <w:color w:val="000000"/>
          <w:kern w:val="0"/>
          <w:sz w:val="24"/>
          <w:szCs w:val="24"/>
          <w:lang w:val="zh-CN"/>
        </w:rPr>
        <w:t xml:space="preserve"> </w:t>
      </w:r>
      <w:r w:rsidRPr="009D605B">
        <w:rPr>
          <w:rFonts w:ascii="方正楷体_GBK" w:eastAsia="方正楷体_GBK" w:cs="方正楷体_GBK" w:hint="eastAsia"/>
          <w:color w:val="000000"/>
          <w:kern w:val="0"/>
          <w:sz w:val="24"/>
          <w:szCs w:val="24"/>
          <w:lang w:val="zh-CN"/>
        </w:rPr>
        <w:t>杨</w:t>
      </w:r>
    </w:p>
    <w:p w14:paraId="06D7CD8A" w14:textId="77777777" w:rsidR="009D605B" w:rsidRPr="009D605B" w:rsidRDefault="009D605B" w:rsidP="009D605B">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9D605B">
        <w:rPr>
          <w:rFonts w:ascii="方正楷体_GBK" w:eastAsia="方正楷体_GBK" w:cs="方正楷体_GBK" w:hint="eastAsia"/>
          <w:color w:val="000000"/>
          <w:kern w:val="0"/>
          <w:sz w:val="18"/>
          <w:szCs w:val="18"/>
          <w:lang w:val="zh-CN"/>
        </w:rPr>
        <w:t>（西安交通大学第一附属医院整形美容颌面外科</w:t>
      </w:r>
      <w:r w:rsidRPr="009D605B">
        <w:rPr>
          <w:rFonts w:ascii="方正楷体_GBK" w:eastAsia="方正楷体_GBK" w:cs="方正楷体_GBK"/>
          <w:color w:val="000000"/>
          <w:kern w:val="0"/>
          <w:sz w:val="18"/>
          <w:szCs w:val="18"/>
          <w:lang w:val="zh-CN"/>
        </w:rPr>
        <w:t xml:space="preserve">  </w:t>
      </w:r>
      <w:r w:rsidRPr="009D605B">
        <w:rPr>
          <w:rFonts w:ascii="方正楷体_GBK" w:eastAsia="方正楷体_GBK" w:cs="方正楷体_GBK" w:hint="eastAsia"/>
          <w:color w:val="000000"/>
          <w:kern w:val="0"/>
          <w:sz w:val="18"/>
          <w:szCs w:val="18"/>
          <w:lang w:val="zh-CN"/>
        </w:rPr>
        <w:t>陕西</w:t>
      </w:r>
      <w:r w:rsidRPr="009D605B">
        <w:rPr>
          <w:rFonts w:ascii="方正楷体_GBK" w:eastAsia="方正楷体_GBK" w:cs="方正楷体_GBK"/>
          <w:color w:val="000000"/>
          <w:kern w:val="0"/>
          <w:sz w:val="18"/>
          <w:szCs w:val="18"/>
          <w:lang w:val="zh-CN"/>
        </w:rPr>
        <w:t xml:space="preserve"> </w:t>
      </w:r>
      <w:r w:rsidRPr="009D605B">
        <w:rPr>
          <w:rFonts w:ascii="方正楷体_GBK" w:eastAsia="方正楷体_GBK" w:cs="方正楷体_GBK" w:hint="eastAsia"/>
          <w:color w:val="000000"/>
          <w:kern w:val="0"/>
          <w:sz w:val="18"/>
          <w:szCs w:val="18"/>
          <w:lang w:val="zh-CN"/>
        </w:rPr>
        <w:t>西安</w:t>
      </w:r>
      <w:r w:rsidRPr="009D605B">
        <w:rPr>
          <w:rFonts w:ascii="方正楷体_GBK" w:eastAsia="方正楷体_GBK" w:cs="方正楷体_GBK"/>
          <w:color w:val="000000"/>
          <w:kern w:val="0"/>
          <w:sz w:val="18"/>
          <w:szCs w:val="18"/>
          <w:lang w:val="zh-CN"/>
        </w:rPr>
        <w:t xml:space="preserve">  710061</w:t>
      </w:r>
      <w:r w:rsidRPr="009D605B">
        <w:rPr>
          <w:rFonts w:ascii="方正楷体_GBK" w:eastAsia="方正楷体_GBK" w:cs="方正楷体_GBK" w:hint="eastAsia"/>
          <w:color w:val="000000"/>
          <w:kern w:val="0"/>
          <w:sz w:val="18"/>
          <w:szCs w:val="18"/>
          <w:lang w:val="zh-CN"/>
        </w:rPr>
        <w:t>）</w:t>
      </w:r>
    </w:p>
    <w:p w14:paraId="1FF4D092" w14:textId="77777777" w:rsidR="009D605B" w:rsidRPr="009D605B" w:rsidRDefault="009D605B" w:rsidP="009D605B">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0DF235AD" w14:textId="77777777" w:rsidR="009D605B" w:rsidRPr="009D605B" w:rsidRDefault="009D605B" w:rsidP="009D605B">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9D605B">
        <w:rPr>
          <w:rFonts w:ascii="黑体" w:eastAsia="黑体" w:cs="黑体"/>
          <w:color w:val="000000"/>
          <w:kern w:val="0"/>
          <w:sz w:val="18"/>
          <w:szCs w:val="18"/>
          <w:lang w:val="zh-CN"/>
        </w:rPr>
        <w:t>[</w:t>
      </w:r>
      <w:r w:rsidRPr="009D605B">
        <w:rPr>
          <w:rFonts w:ascii="黑体" w:eastAsia="黑体" w:cs="黑体" w:hint="eastAsia"/>
          <w:color w:val="000000"/>
          <w:kern w:val="0"/>
          <w:sz w:val="18"/>
          <w:szCs w:val="18"/>
          <w:lang w:val="zh-CN"/>
        </w:rPr>
        <w:t>摘要</w:t>
      </w:r>
      <w:r w:rsidRPr="009D605B">
        <w:rPr>
          <w:rFonts w:ascii="黑体" w:eastAsia="黑体" w:cs="黑体"/>
          <w:color w:val="000000"/>
          <w:kern w:val="0"/>
          <w:sz w:val="18"/>
          <w:szCs w:val="18"/>
          <w:lang w:val="zh-CN"/>
        </w:rPr>
        <w:t>]</w:t>
      </w:r>
      <w:r w:rsidRPr="009D605B">
        <w:rPr>
          <w:rFonts w:ascii="黑体" w:eastAsia="黑体" w:cs="黑体" w:hint="eastAsia"/>
          <w:color w:val="000000"/>
          <w:kern w:val="0"/>
          <w:sz w:val="18"/>
          <w:szCs w:val="18"/>
          <w:lang w:val="zh-CN"/>
        </w:rPr>
        <w:t>目的：</w:t>
      </w:r>
      <w:r w:rsidRPr="009D605B">
        <w:rPr>
          <w:rFonts w:ascii="楷体_GB2312" w:eastAsia="楷体_GB2312" w:cs="楷体_GB2312" w:hint="eastAsia"/>
          <w:color w:val="000000"/>
          <w:kern w:val="0"/>
          <w:sz w:val="18"/>
          <w:szCs w:val="18"/>
          <w:lang w:val="zh-CN"/>
        </w:rPr>
        <w:t>观察良愿前置理论下的围术期宣教对行自体脂肪移植术面部年轻化就医者围术期焦虑和术后恢复的影响。</w:t>
      </w:r>
      <w:r w:rsidRPr="009D605B">
        <w:rPr>
          <w:rFonts w:ascii="黑体" w:eastAsia="黑体" w:cs="黑体" w:hint="eastAsia"/>
          <w:color w:val="000000"/>
          <w:kern w:val="0"/>
          <w:sz w:val="18"/>
          <w:szCs w:val="18"/>
          <w:lang w:val="zh-CN"/>
        </w:rPr>
        <w:t>方法：</w:t>
      </w:r>
      <w:r w:rsidRPr="009D605B">
        <w:rPr>
          <w:rFonts w:ascii="楷体_GB2312" w:eastAsia="楷体_GB2312" w:cs="楷体_GB2312" w:hint="eastAsia"/>
          <w:color w:val="000000"/>
          <w:kern w:val="0"/>
          <w:sz w:val="18"/>
          <w:szCs w:val="18"/>
          <w:lang w:val="zh-CN"/>
        </w:rPr>
        <w:t>选择</w:t>
      </w:r>
      <w:r w:rsidRPr="009D605B">
        <w:rPr>
          <w:rFonts w:ascii="楷体_GB2312" w:eastAsia="楷体_GB2312" w:cs="楷体_GB2312"/>
          <w:color w:val="000000"/>
          <w:kern w:val="0"/>
          <w:sz w:val="18"/>
          <w:szCs w:val="18"/>
          <w:lang w:val="zh-CN"/>
        </w:rPr>
        <w:t>2019</w:t>
      </w:r>
      <w:r w:rsidRPr="009D605B">
        <w:rPr>
          <w:rFonts w:ascii="楷体_GB2312" w:eastAsia="楷体_GB2312" w:cs="楷体_GB2312" w:hint="eastAsia"/>
          <w:color w:val="000000"/>
          <w:kern w:val="0"/>
          <w:sz w:val="18"/>
          <w:szCs w:val="18"/>
          <w:lang w:val="zh-CN"/>
        </w:rPr>
        <w:t>年</w:t>
      </w:r>
      <w:r w:rsidRPr="009D605B">
        <w:rPr>
          <w:rFonts w:ascii="楷体_GB2312" w:eastAsia="楷体_GB2312" w:cs="楷体_GB2312"/>
          <w:color w:val="000000"/>
          <w:kern w:val="0"/>
          <w:sz w:val="18"/>
          <w:szCs w:val="18"/>
          <w:lang w:val="zh-CN"/>
        </w:rPr>
        <w:t>4</w:t>
      </w:r>
      <w:r w:rsidRPr="009D605B">
        <w:rPr>
          <w:rFonts w:ascii="楷体_GB2312" w:eastAsia="楷体_GB2312" w:cs="楷体_GB2312" w:hint="eastAsia"/>
          <w:color w:val="000000"/>
          <w:kern w:val="0"/>
          <w:sz w:val="18"/>
          <w:szCs w:val="18"/>
          <w:lang w:val="zh-CN"/>
        </w:rPr>
        <w:t>月</w:t>
      </w:r>
      <w:r w:rsidRPr="009D605B">
        <w:rPr>
          <w:rFonts w:ascii="楷体_GB2312" w:eastAsia="楷体_GB2312" w:cs="楷体_GB2312"/>
          <w:color w:val="000000"/>
          <w:kern w:val="0"/>
          <w:sz w:val="18"/>
          <w:szCs w:val="18"/>
          <w:lang w:val="zh-CN"/>
        </w:rPr>
        <w:t>-2021</w:t>
      </w:r>
      <w:r w:rsidRPr="009D605B">
        <w:rPr>
          <w:rFonts w:ascii="楷体_GB2312" w:eastAsia="楷体_GB2312" w:cs="楷体_GB2312" w:hint="eastAsia"/>
          <w:color w:val="000000"/>
          <w:kern w:val="0"/>
          <w:sz w:val="18"/>
          <w:szCs w:val="18"/>
          <w:lang w:val="zh-CN"/>
        </w:rPr>
        <w:t>年</w:t>
      </w:r>
      <w:r w:rsidRPr="009D605B">
        <w:rPr>
          <w:rFonts w:ascii="楷体_GB2312" w:eastAsia="楷体_GB2312" w:cs="楷体_GB2312"/>
          <w:color w:val="000000"/>
          <w:kern w:val="0"/>
          <w:sz w:val="18"/>
          <w:szCs w:val="18"/>
          <w:lang w:val="zh-CN"/>
        </w:rPr>
        <w:t>4</w:t>
      </w:r>
      <w:r w:rsidRPr="009D605B">
        <w:rPr>
          <w:rFonts w:ascii="楷体_GB2312" w:eastAsia="楷体_GB2312" w:cs="楷体_GB2312" w:hint="eastAsia"/>
          <w:color w:val="000000"/>
          <w:kern w:val="0"/>
          <w:sz w:val="18"/>
          <w:szCs w:val="18"/>
          <w:lang w:val="zh-CN"/>
        </w:rPr>
        <w:t>月在笔者医院就诊的</w:t>
      </w:r>
      <w:r w:rsidRPr="009D605B">
        <w:rPr>
          <w:rFonts w:ascii="楷体_GB2312" w:eastAsia="楷体_GB2312" w:cs="楷体_GB2312"/>
          <w:color w:val="000000"/>
          <w:kern w:val="0"/>
          <w:sz w:val="18"/>
          <w:szCs w:val="18"/>
          <w:lang w:val="zh-CN"/>
        </w:rPr>
        <w:t>64</w:t>
      </w:r>
      <w:r w:rsidRPr="009D605B">
        <w:rPr>
          <w:rFonts w:ascii="楷体_GB2312" w:eastAsia="楷体_GB2312" w:cs="楷体_GB2312" w:hint="eastAsia"/>
          <w:color w:val="000000"/>
          <w:kern w:val="0"/>
          <w:sz w:val="18"/>
          <w:szCs w:val="18"/>
          <w:lang w:val="zh-CN"/>
        </w:rPr>
        <w:t>例行自体脂肪移植术面部年轻化就医者，采用简单随机分组法将其分为对照组（</w:t>
      </w:r>
      <w:r w:rsidRPr="009D605B">
        <w:rPr>
          <w:rFonts w:ascii="楷体_GB2312" w:eastAsia="楷体_GB2312" w:cs="楷体_GB2312"/>
          <w:color w:val="000000"/>
          <w:kern w:val="0"/>
          <w:sz w:val="18"/>
          <w:szCs w:val="18"/>
          <w:lang w:val="zh-CN"/>
        </w:rPr>
        <w:t>n=32</w:t>
      </w:r>
      <w:r w:rsidRPr="009D605B">
        <w:rPr>
          <w:rFonts w:ascii="楷体_GB2312" w:eastAsia="楷体_GB2312" w:cs="楷体_GB2312" w:hint="eastAsia"/>
          <w:color w:val="000000"/>
          <w:kern w:val="0"/>
          <w:sz w:val="18"/>
          <w:szCs w:val="18"/>
          <w:lang w:val="zh-CN"/>
        </w:rPr>
        <w:t>）和观察组（</w:t>
      </w:r>
      <w:r w:rsidRPr="009D605B">
        <w:rPr>
          <w:rFonts w:ascii="楷体_GB2312" w:eastAsia="楷体_GB2312" w:cs="楷体_GB2312"/>
          <w:color w:val="000000"/>
          <w:kern w:val="0"/>
          <w:sz w:val="18"/>
          <w:szCs w:val="18"/>
          <w:lang w:val="zh-CN"/>
        </w:rPr>
        <w:t>n=32</w:t>
      </w:r>
      <w:r w:rsidRPr="009D605B">
        <w:rPr>
          <w:rFonts w:ascii="楷体_GB2312" w:eastAsia="楷体_GB2312" w:cs="楷体_GB2312" w:hint="eastAsia"/>
          <w:color w:val="000000"/>
          <w:kern w:val="0"/>
          <w:sz w:val="18"/>
          <w:szCs w:val="18"/>
          <w:lang w:val="zh-CN"/>
        </w:rPr>
        <w:t>）。手术期间，对照组就医者采用常规的护理方式，观察组就医者在对照组干预的基础上进行良愿前置理论下的围术期宣教。评估两组就医者的宣教满意度、遵医行为、术后并发症发生率和术前准备缺陷发生率，采用一般自我效能感量表（</w:t>
      </w:r>
      <w:r w:rsidRPr="009D605B">
        <w:rPr>
          <w:rFonts w:ascii="楷体_GB2312" w:eastAsia="楷体_GB2312" w:cs="楷体_GB2312"/>
          <w:color w:val="000000"/>
          <w:kern w:val="0"/>
          <w:sz w:val="18"/>
          <w:szCs w:val="18"/>
          <w:lang w:val="zh-CN"/>
        </w:rPr>
        <w:t>GSES</w:t>
      </w:r>
      <w:r w:rsidRPr="009D605B">
        <w:rPr>
          <w:rFonts w:ascii="楷体_GB2312" w:eastAsia="楷体_GB2312" w:cs="楷体_GB2312" w:hint="eastAsia"/>
          <w:color w:val="000000"/>
          <w:kern w:val="0"/>
          <w:sz w:val="18"/>
          <w:szCs w:val="18"/>
          <w:lang w:val="zh-CN"/>
        </w:rPr>
        <w:t>）评估就医者的自我效能。宣教后，评估两组就医者对行自体脂肪移植术面部年轻化的认知度，采用焦虑自</w:t>
      </w:r>
      <w:r w:rsidRPr="009D605B">
        <w:rPr>
          <w:rFonts w:ascii="楷体_GB2312" w:eastAsia="楷体_GB2312" w:cs="楷体_GB2312" w:hint="eastAsia"/>
          <w:color w:val="000000"/>
          <w:spacing w:val="4"/>
          <w:kern w:val="0"/>
          <w:sz w:val="18"/>
          <w:szCs w:val="18"/>
          <w:lang w:val="zh-CN"/>
        </w:rPr>
        <w:t>评量表（</w:t>
      </w:r>
      <w:r w:rsidRPr="009D605B">
        <w:rPr>
          <w:rFonts w:ascii="楷体_GB2312" w:eastAsia="楷体_GB2312" w:cs="楷体_GB2312"/>
          <w:color w:val="000000"/>
          <w:spacing w:val="4"/>
          <w:kern w:val="0"/>
          <w:sz w:val="18"/>
          <w:szCs w:val="18"/>
          <w:lang w:val="zh-CN"/>
        </w:rPr>
        <w:t>SAS</w:t>
      </w:r>
      <w:r w:rsidRPr="009D605B">
        <w:rPr>
          <w:rFonts w:ascii="楷体_GB2312" w:eastAsia="楷体_GB2312" w:cs="楷体_GB2312" w:hint="eastAsia"/>
          <w:color w:val="000000"/>
          <w:spacing w:val="4"/>
          <w:kern w:val="0"/>
          <w:sz w:val="18"/>
          <w:szCs w:val="18"/>
          <w:lang w:val="zh-CN"/>
        </w:rPr>
        <w:t>）和抑郁自评量表（</w:t>
      </w:r>
      <w:r w:rsidRPr="009D605B">
        <w:rPr>
          <w:rFonts w:ascii="楷体_GB2312" w:eastAsia="楷体_GB2312" w:cs="楷体_GB2312"/>
          <w:color w:val="000000"/>
          <w:spacing w:val="4"/>
          <w:kern w:val="0"/>
          <w:sz w:val="18"/>
          <w:szCs w:val="18"/>
          <w:lang w:val="zh-CN"/>
        </w:rPr>
        <w:t>SDS</w:t>
      </w:r>
      <w:r w:rsidRPr="009D605B">
        <w:rPr>
          <w:rFonts w:ascii="楷体_GB2312" w:eastAsia="楷体_GB2312" w:cs="楷体_GB2312" w:hint="eastAsia"/>
          <w:color w:val="000000"/>
          <w:spacing w:val="4"/>
          <w:kern w:val="0"/>
          <w:sz w:val="18"/>
          <w:szCs w:val="18"/>
          <w:lang w:val="zh-CN"/>
        </w:rPr>
        <w:t>）评估就医者的抑郁和焦虑情绪，匹兹堡睡眠质量指数（</w:t>
      </w:r>
      <w:r w:rsidRPr="009D605B">
        <w:rPr>
          <w:rFonts w:ascii="楷体_GB2312" w:eastAsia="楷体_GB2312" w:cs="楷体_GB2312"/>
          <w:color w:val="000000"/>
          <w:spacing w:val="4"/>
          <w:kern w:val="0"/>
          <w:sz w:val="18"/>
          <w:szCs w:val="18"/>
          <w:lang w:val="zh-CN"/>
        </w:rPr>
        <w:t>PSQI</w:t>
      </w:r>
      <w:r w:rsidRPr="009D605B">
        <w:rPr>
          <w:rFonts w:ascii="楷体_GB2312" w:eastAsia="楷体_GB2312" w:cs="楷体_GB2312" w:hint="eastAsia"/>
          <w:color w:val="000000"/>
          <w:spacing w:val="4"/>
          <w:kern w:val="0"/>
          <w:sz w:val="18"/>
          <w:szCs w:val="18"/>
          <w:lang w:val="zh-CN"/>
        </w:rPr>
        <w:t>）评价就医者的睡眠质量。</w:t>
      </w:r>
      <w:r w:rsidRPr="009D605B">
        <w:rPr>
          <w:rFonts w:ascii="黑体" w:eastAsia="黑体" w:cs="黑体" w:hint="eastAsia"/>
          <w:color w:val="000000"/>
          <w:kern w:val="0"/>
          <w:sz w:val="18"/>
          <w:szCs w:val="18"/>
          <w:lang w:val="zh-CN"/>
        </w:rPr>
        <w:t>结果：</w:t>
      </w:r>
      <w:r w:rsidRPr="009D605B">
        <w:rPr>
          <w:rFonts w:ascii="楷体_GB2312" w:eastAsia="楷体_GB2312" w:cs="楷体_GB2312" w:hint="eastAsia"/>
          <w:color w:val="000000"/>
          <w:kern w:val="0"/>
          <w:sz w:val="18"/>
          <w:szCs w:val="18"/>
          <w:lang w:val="zh-CN"/>
        </w:rPr>
        <w:t>宣教后，观察组就医者术后并发症发生率</w:t>
      </w:r>
      <w:r w:rsidRPr="009D605B">
        <w:rPr>
          <w:rFonts w:ascii="楷体_GB2312" w:eastAsia="楷体_GB2312" w:cs="楷体_GB2312"/>
          <w:color w:val="000000"/>
          <w:kern w:val="0"/>
          <w:sz w:val="18"/>
          <w:szCs w:val="18"/>
          <w:lang w:val="zh-CN"/>
        </w:rPr>
        <w:t>3.13%</w:t>
      </w:r>
      <w:r w:rsidRPr="009D605B">
        <w:rPr>
          <w:rFonts w:ascii="楷体_GB2312" w:eastAsia="楷体_GB2312" w:cs="楷体_GB2312" w:hint="eastAsia"/>
          <w:color w:val="000000"/>
          <w:kern w:val="0"/>
          <w:sz w:val="18"/>
          <w:szCs w:val="18"/>
          <w:lang w:val="zh-CN"/>
        </w:rPr>
        <w:t>，明显低于对照组的</w:t>
      </w:r>
      <w:r w:rsidRPr="009D605B">
        <w:rPr>
          <w:rFonts w:ascii="楷体_GB2312" w:eastAsia="楷体_GB2312" w:cs="楷体_GB2312"/>
          <w:color w:val="000000"/>
          <w:kern w:val="0"/>
          <w:sz w:val="18"/>
          <w:szCs w:val="18"/>
          <w:lang w:val="zh-CN"/>
        </w:rPr>
        <w:t>18.75%</w:t>
      </w:r>
      <w:r w:rsidRPr="009D605B">
        <w:rPr>
          <w:rFonts w:ascii="楷体_GB2312" w:eastAsia="楷体_GB2312" w:cs="楷体_GB2312" w:hint="eastAsia"/>
          <w:color w:val="000000"/>
          <w:kern w:val="0"/>
          <w:sz w:val="18"/>
          <w:szCs w:val="18"/>
          <w:lang w:val="zh-CN"/>
        </w:rPr>
        <w:t>，差异有统计学意义（</w:t>
      </w:r>
      <w:r w:rsidRPr="009D605B">
        <w:rPr>
          <w:rFonts w:ascii="楷体_GB2312" w:eastAsia="楷体_GB2312" w:cs="楷体_GB2312"/>
          <w:color w:val="000000"/>
          <w:kern w:val="0"/>
          <w:sz w:val="18"/>
          <w:szCs w:val="18"/>
          <w:lang w:val="zh-CN"/>
        </w:rPr>
        <w:t>P</w:t>
      </w:r>
      <w:r w:rsidRPr="009D605B">
        <w:rPr>
          <w:rFonts w:ascii="楷体_GB2312" w:eastAsia="楷体_GB2312" w:cs="楷体_GB2312" w:hint="eastAsia"/>
          <w:color w:val="000000"/>
          <w:kern w:val="0"/>
          <w:sz w:val="18"/>
          <w:szCs w:val="18"/>
          <w:lang w:val="zh-CN"/>
        </w:rPr>
        <w:t>＜</w:t>
      </w:r>
      <w:r w:rsidRPr="009D605B">
        <w:rPr>
          <w:rFonts w:ascii="楷体_GB2312" w:eastAsia="楷体_GB2312" w:cs="楷体_GB2312"/>
          <w:color w:val="000000"/>
          <w:kern w:val="0"/>
          <w:sz w:val="18"/>
          <w:szCs w:val="18"/>
          <w:lang w:val="zh-CN"/>
        </w:rPr>
        <w:t>0.05</w:t>
      </w:r>
      <w:r w:rsidRPr="009D605B">
        <w:rPr>
          <w:rFonts w:ascii="楷体_GB2312" w:eastAsia="楷体_GB2312" w:cs="楷体_GB2312" w:hint="eastAsia"/>
          <w:color w:val="000000"/>
          <w:kern w:val="0"/>
          <w:sz w:val="18"/>
          <w:szCs w:val="18"/>
          <w:lang w:val="zh-CN"/>
        </w:rPr>
        <w:t>）；观察组术前准备缺陷发生率</w:t>
      </w:r>
      <w:r w:rsidRPr="009D605B">
        <w:rPr>
          <w:rFonts w:ascii="楷体_GB2312" w:eastAsia="楷体_GB2312" w:cs="楷体_GB2312"/>
          <w:color w:val="000000"/>
          <w:kern w:val="0"/>
          <w:sz w:val="18"/>
          <w:szCs w:val="18"/>
          <w:lang w:val="zh-CN"/>
        </w:rPr>
        <w:t>6.25%</w:t>
      </w:r>
      <w:r w:rsidRPr="009D605B">
        <w:rPr>
          <w:rFonts w:ascii="楷体_GB2312" w:eastAsia="楷体_GB2312" w:cs="楷体_GB2312" w:hint="eastAsia"/>
          <w:color w:val="000000"/>
          <w:kern w:val="0"/>
          <w:sz w:val="18"/>
          <w:szCs w:val="18"/>
          <w:lang w:val="zh-CN"/>
        </w:rPr>
        <w:t>明显低于对照组的</w:t>
      </w:r>
      <w:r w:rsidRPr="009D605B">
        <w:rPr>
          <w:rFonts w:ascii="楷体_GB2312" w:eastAsia="楷体_GB2312" w:cs="楷体_GB2312"/>
          <w:color w:val="000000"/>
          <w:kern w:val="0"/>
          <w:sz w:val="18"/>
          <w:szCs w:val="18"/>
          <w:lang w:val="zh-CN"/>
        </w:rPr>
        <w:t>25.00%</w:t>
      </w:r>
      <w:r w:rsidRPr="009D605B">
        <w:rPr>
          <w:rFonts w:ascii="楷体_GB2312" w:eastAsia="楷体_GB2312" w:cs="楷体_GB2312" w:hint="eastAsia"/>
          <w:color w:val="000000"/>
          <w:kern w:val="0"/>
          <w:sz w:val="18"/>
          <w:szCs w:val="18"/>
          <w:lang w:val="zh-CN"/>
        </w:rPr>
        <w:t>（</w:t>
      </w:r>
      <w:r w:rsidRPr="009D605B">
        <w:rPr>
          <w:rFonts w:ascii="楷体_GB2312" w:eastAsia="楷体_GB2312" w:cs="楷体_GB2312"/>
          <w:color w:val="000000"/>
          <w:kern w:val="0"/>
          <w:sz w:val="18"/>
          <w:szCs w:val="18"/>
          <w:lang w:val="zh-CN"/>
        </w:rPr>
        <w:t>P</w:t>
      </w:r>
      <w:r w:rsidRPr="009D605B">
        <w:rPr>
          <w:rFonts w:ascii="楷体_GB2312" w:eastAsia="楷体_GB2312" w:cs="楷体_GB2312" w:hint="eastAsia"/>
          <w:color w:val="000000"/>
          <w:kern w:val="0"/>
          <w:sz w:val="18"/>
          <w:szCs w:val="18"/>
          <w:lang w:val="zh-CN"/>
        </w:rPr>
        <w:t>＜</w:t>
      </w:r>
      <w:r w:rsidRPr="009D605B">
        <w:rPr>
          <w:rFonts w:ascii="楷体_GB2312" w:eastAsia="楷体_GB2312" w:cs="楷体_GB2312"/>
          <w:color w:val="000000"/>
          <w:kern w:val="0"/>
          <w:sz w:val="18"/>
          <w:szCs w:val="18"/>
          <w:lang w:val="zh-CN"/>
        </w:rPr>
        <w:t>0.05</w:t>
      </w:r>
      <w:r w:rsidRPr="009D605B">
        <w:rPr>
          <w:rFonts w:ascii="楷体_GB2312" w:eastAsia="楷体_GB2312" w:cs="楷体_GB2312" w:hint="eastAsia"/>
          <w:color w:val="000000"/>
          <w:kern w:val="0"/>
          <w:sz w:val="18"/>
          <w:szCs w:val="18"/>
          <w:lang w:val="zh-CN"/>
        </w:rPr>
        <w:t>）。观察组就医者对行自体脂肪移植术面部年轻化相关知识的认知度明显高于对照组（</w:t>
      </w:r>
      <w:r w:rsidRPr="009D605B">
        <w:rPr>
          <w:rFonts w:ascii="楷体_GB2312" w:eastAsia="楷体_GB2312" w:cs="楷体_GB2312"/>
          <w:color w:val="000000"/>
          <w:kern w:val="0"/>
          <w:sz w:val="18"/>
          <w:szCs w:val="18"/>
          <w:lang w:val="zh-CN"/>
        </w:rPr>
        <w:t>P</w:t>
      </w:r>
      <w:r w:rsidRPr="009D605B">
        <w:rPr>
          <w:rFonts w:ascii="楷体_GB2312" w:eastAsia="楷体_GB2312" w:cs="楷体_GB2312" w:hint="eastAsia"/>
          <w:color w:val="000000"/>
          <w:kern w:val="0"/>
          <w:sz w:val="18"/>
          <w:szCs w:val="18"/>
          <w:lang w:val="zh-CN"/>
        </w:rPr>
        <w:t>＜</w:t>
      </w:r>
      <w:r w:rsidRPr="009D605B">
        <w:rPr>
          <w:rFonts w:ascii="楷体_GB2312" w:eastAsia="楷体_GB2312" w:cs="楷体_GB2312"/>
          <w:color w:val="000000"/>
          <w:kern w:val="0"/>
          <w:sz w:val="18"/>
          <w:szCs w:val="18"/>
          <w:lang w:val="zh-CN"/>
        </w:rPr>
        <w:t>0.05</w:t>
      </w:r>
      <w:r w:rsidRPr="009D605B">
        <w:rPr>
          <w:rFonts w:ascii="楷体_GB2312" w:eastAsia="楷体_GB2312" w:cs="楷体_GB2312" w:hint="eastAsia"/>
          <w:color w:val="000000"/>
          <w:kern w:val="0"/>
          <w:sz w:val="18"/>
          <w:szCs w:val="18"/>
          <w:lang w:val="zh-CN"/>
        </w:rPr>
        <w:t>）。观察组</w:t>
      </w:r>
      <w:r w:rsidRPr="009D605B">
        <w:rPr>
          <w:rFonts w:ascii="楷体_GB2312" w:eastAsia="楷体_GB2312" w:cs="楷体_GB2312"/>
          <w:color w:val="000000"/>
          <w:kern w:val="0"/>
          <w:sz w:val="18"/>
          <w:szCs w:val="18"/>
          <w:lang w:val="zh-CN"/>
        </w:rPr>
        <w:t>SDS</w:t>
      </w:r>
      <w:r w:rsidRPr="009D605B">
        <w:rPr>
          <w:rFonts w:ascii="楷体_GB2312" w:eastAsia="楷体_GB2312" w:cs="楷体_GB2312" w:hint="eastAsia"/>
          <w:color w:val="000000"/>
          <w:kern w:val="0"/>
          <w:sz w:val="18"/>
          <w:szCs w:val="18"/>
          <w:lang w:val="zh-CN"/>
        </w:rPr>
        <w:t>、</w:t>
      </w:r>
      <w:r w:rsidRPr="009D605B">
        <w:rPr>
          <w:rFonts w:ascii="楷体_GB2312" w:eastAsia="楷体_GB2312" w:cs="楷体_GB2312"/>
          <w:color w:val="000000"/>
          <w:kern w:val="0"/>
          <w:sz w:val="18"/>
          <w:szCs w:val="18"/>
          <w:lang w:val="zh-CN"/>
        </w:rPr>
        <w:t>SAS</w:t>
      </w:r>
      <w:r w:rsidRPr="009D605B">
        <w:rPr>
          <w:rFonts w:ascii="楷体_GB2312" w:eastAsia="楷体_GB2312" w:cs="楷体_GB2312" w:hint="eastAsia"/>
          <w:color w:val="000000"/>
          <w:kern w:val="0"/>
          <w:sz w:val="18"/>
          <w:szCs w:val="18"/>
          <w:lang w:val="zh-CN"/>
        </w:rPr>
        <w:t>和</w:t>
      </w:r>
      <w:r w:rsidRPr="009D605B">
        <w:rPr>
          <w:rFonts w:ascii="楷体_GB2312" w:eastAsia="楷体_GB2312" w:cs="楷体_GB2312"/>
          <w:color w:val="000000"/>
          <w:kern w:val="0"/>
          <w:sz w:val="18"/>
          <w:szCs w:val="18"/>
          <w:lang w:val="zh-CN"/>
        </w:rPr>
        <w:t>PSQI</w:t>
      </w:r>
      <w:r w:rsidRPr="009D605B">
        <w:rPr>
          <w:rFonts w:ascii="楷体_GB2312" w:eastAsia="楷体_GB2312" w:cs="楷体_GB2312" w:hint="eastAsia"/>
          <w:color w:val="000000"/>
          <w:kern w:val="0"/>
          <w:sz w:val="18"/>
          <w:szCs w:val="18"/>
          <w:lang w:val="zh-CN"/>
        </w:rPr>
        <w:t>评分明显低于对照组（</w:t>
      </w:r>
      <w:r w:rsidRPr="009D605B">
        <w:rPr>
          <w:rFonts w:ascii="楷体_GB2312" w:eastAsia="楷体_GB2312" w:cs="楷体_GB2312"/>
          <w:color w:val="000000"/>
          <w:kern w:val="0"/>
          <w:sz w:val="18"/>
          <w:szCs w:val="18"/>
          <w:lang w:val="zh-CN"/>
        </w:rPr>
        <w:t>P</w:t>
      </w:r>
      <w:r w:rsidRPr="009D605B">
        <w:rPr>
          <w:rFonts w:ascii="楷体_GB2312" w:eastAsia="楷体_GB2312" w:cs="楷体_GB2312" w:hint="eastAsia"/>
          <w:color w:val="000000"/>
          <w:kern w:val="0"/>
          <w:sz w:val="18"/>
          <w:szCs w:val="18"/>
          <w:lang w:val="zh-CN"/>
        </w:rPr>
        <w:t>＜</w:t>
      </w:r>
      <w:r w:rsidRPr="009D605B">
        <w:rPr>
          <w:rFonts w:ascii="楷体_GB2312" w:eastAsia="楷体_GB2312" w:cs="楷体_GB2312"/>
          <w:color w:val="000000"/>
          <w:kern w:val="0"/>
          <w:sz w:val="18"/>
          <w:szCs w:val="18"/>
          <w:lang w:val="zh-CN"/>
        </w:rPr>
        <w:t>0.05</w:t>
      </w:r>
      <w:r w:rsidRPr="009D605B">
        <w:rPr>
          <w:rFonts w:ascii="楷体_GB2312" w:eastAsia="楷体_GB2312" w:cs="楷体_GB2312" w:hint="eastAsia"/>
          <w:color w:val="000000"/>
          <w:kern w:val="0"/>
          <w:sz w:val="18"/>
          <w:szCs w:val="18"/>
          <w:lang w:val="zh-CN"/>
        </w:rPr>
        <w:t>）。观察组就医者的各项宣教满意度、各项遵医行为和自我效能评分明显高于对照组（</w:t>
      </w:r>
      <w:r w:rsidRPr="009D605B">
        <w:rPr>
          <w:rFonts w:ascii="楷体_GB2312" w:eastAsia="楷体_GB2312" w:cs="楷体_GB2312"/>
          <w:color w:val="000000"/>
          <w:kern w:val="0"/>
          <w:sz w:val="18"/>
          <w:szCs w:val="18"/>
          <w:lang w:val="zh-CN"/>
        </w:rPr>
        <w:t>P</w:t>
      </w:r>
      <w:r w:rsidRPr="009D605B">
        <w:rPr>
          <w:rFonts w:ascii="楷体_GB2312" w:eastAsia="楷体_GB2312" w:cs="楷体_GB2312" w:hint="eastAsia"/>
          <w:color w:val="000000"/>
          <w:kern w:val="0"/>
          <w:sz w:val="18"/>
          <w:szCs w:val="18"/>
          <w:lang w:val="zh-CN"/>
        </w:rPr>
        <w:t>＜</w:t>
      </w:r>
      <w:r w:rsidRPr="009D605B">
        <w:rPr>
          <w:rFonts w:ascii="楷体_GB2312" w:eastAsia="楷体_GB2312" w:cs="楷体_GB2312"/>
          <w:color w:val="000000"/>
          <w:kern w:val="0"/>
          <w:sz w:val="18"/>
          <w:szCs w:val="18"/>
          <w:lang w:val="zh-CN"/>
        </w:rPr>
        <w:t>0.05</w:t>
      </w:r>
      <w:r w:rsidRPr="009D605B">
        <w:rPr>
          <w:rFonts w:ascii="楷体_GB2312" w:eastAsia="楷体_GB2312" w:cs="楷体_GB2312" w:hint="eastAsia"/>
          <w:color w:val="000000"/>
          <w:kern w:val="0"/>
          <w:sz w:val="18"/>
          <w:szCs w:val="18"/>
          <w:lang w:val="zh-CN"/>
        </w:rPr>
        <w:t>）。</w:t>
      </w:r>
      <w:r w:rsidRPr="009D605B">
        <w:rPr>
          <w:rFonts w:ascii="黑体" w:eastAsia="黑体" w:cs="黑体" w:hint="eastAsia"/>
          <w:color w:val="000000"/>
          <w:kern w:val="0"/>
          <w:sz w:val="18"/>
          <w:szCs w:val="18"/>
          <w:lang w:val="zh-CN"/>
        </w:rPr>
        <w:t>结论：</w:t>
      </w:r>
      <w:r w:rsidRPr="009D605B">
        <w:rPr>
          <w:rFonts w:ascii="楷体_GB2312" w:eastAsia="楷体_GB2312" w:cs="楷体_GB2312" w:hint="eastAsia"/>
          <w:color w:val="000000"/>
          <w:kern w:val="0"/>
          <w:sz w:val="18"/>
          <w:szCs w:val="18"/>
          <w:lang w:val="zh-CN"/>
        </w:rPr>
        <w:t>良愿前置理论下的围术期宣教可以更好地缓解行自体脂肪移植术面部年轻化就医者围术期焦虑，有利于就医者术后恢复。</w:t>
      </w:r>
    </w:p>
    <w:p w14:paraId="2001F003" w14:textId="77777777" w:rsidR="009D605B" w:rsidRPr="009D605B" w:rsidRDefault="009D605B" w:rsidP="009D605B">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9D605B">
        <w:rPr>
          <w:rFonts w:ascii="黑体" w:eastAsia="黑体" w:cs="黑体"/>
          <w:color w:val="000000"/>
          <w:kern w:val="0"/>
          <w:sz w:val="18"/>
          <w:szCs w:val="18"/>
          <w:lang w:val="zh-CN"/>
        </w:rPr>
        <w:t>[</w:t>
      </w:r>
      <w:r w:rsidRPr="009D605B">
        <w:rPr>
          <w:rFonts w:ascii="黑体" w:eastAsia="黑体" w:cs="黑体" w:hint="eastAsia"/>
          <w:color w:val="000000"/>
          <w:kern w:val="0"/>
          <w:sz w:val="18"/>
          <w:szCs w:val="18"/>
          <w:lang w:val="zh-CN"/>
        </w:rPr>
        <w:t>关键词</w:t>
      </w:r>
      <w:r w:rsidRPr="009D605B">
        <w:rPr>
          <w:rFonts w:ascii="黑体" w:eastAsia="黑体" w:cs="黑体"/>
          <w:color w:val="000000"/>
          <w:kern w:val="0"/>
          <w:sz w:val="18"/>
          <w:szCs w:val="18"/>
          <w:lang w:val="zh-CN"/>
        </w:rPr>
        <w:t>]</w:t>
      </w:r>
      <w:r w:rsidRPr="009D605B">
        <w:rPr>
          <w:rFonts w:ascii="楷体_GB2312" w:eastAsia="楷体_GB2312" w:cs="楷体_GB2312" w:hint="eastAsia"/>
          <w:color w:val="000000"/>
          <w:kern w:val="0"/>
          <w:sz w:val="18"/>
          <w:szCs w:val="18"/>
          <w:lang w:val="zh-CN"/>
        </w:rPr>
        <w:t>良愿前置理论；自体脂肪移植术；护理满意度；焦虑；匹兹堡睡眠质量指数</w:t>
      </w:r>
    </w:p>
    <w:p w14:paraId="0561657B" w14:textId="77777777" w:rsidR="009D605B" w:rsidRPr="009D605B" w:rsidRDefault="009D605B" w:rsidP="009D605B">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9D605B">
        <w:rPr>
          <w:rFonts w:ascii="黑体" w:eastAsia="黑体" w:cs="黑体"/>
          <w:color w:val="000000"/>
          <w:kern w:val="0"/>
          <w:sz w:val="18"/>
          <w:szCs w:val="18"/>
          <w:lang w:val="zh-CN"/>
        </w:rPr>
        <w:t>[</w:t>
      </w:r>
      <w:r w:rsidRPr="009D605B">
        <w:rPr>
          <w:rFonts w:ascii="黑体" w:eastAsia="黑体" w:cs="黑体" w:hint="eastAsia"/>
          <w:color w:val="000000"/>
          <w:kern w:val="0"/>
          <w:sz w:val="18"/>
          <w:szCs w:val="18"/>
          <w:lang w:val="zh-CN"/>
        </w:rPr>
        <w:t>中图分类号</w:t>
      </w:r>
      <w:r w:rsidRPr="009D605B">
        <w:rPr>
          <w:rFonts w:ascii="黑体" w:eastAsia="黑体" w:cs="黑体"/>
          <w:color w:val="000000"/>
          <w:kern w:val="0"/>
          <w:sz w:val="18"/>
          <w:szCs w:val="18"/>
          <w:lang w:val="zh-CN"/>
        </w:rPr>
        <w:t>]</w:t>
      </w:r>
      <w:r w:rsidRPr="009D605B">
        <w:rPr>
          <w:rFonts w:ascii="楷体_GB2312" w:eastAsia="楷体_GB2312" w:cs="楷体_GB2312"/>
          <w:color w:val="000000"/>
          <w:kern w:val="0"/>
          <w:sz w:val="18"/>
          <w:szCs w:val="18"/>
          <w:lang w:val="zh-CN"/>
        </w:rPr>
        <w:t>R622</w:t>
      </w:r>
      <w:r w:rsidRPr="009D605B">
        <w:rPr>
          <w:rFonts w:ascii="楷体_GB2312" w:eastAsia="楷体_GB2312" w:cs="楷体_GB2312"/>
          <w:color w:val="000000"/>
          <w:kern w:val="0"/>
          <w:sz w:val="18"/>
          <w:szCs w:val="18"/>
          <w:vertAlign w:val="superscript"/>
          <w:lang w:val="zh-CN"/>
        </w:rPr>
        <w:t>+</w:t>
      </w:r>
      <w:r w:rsidRPr="009D605B">
        <w:rPr>
          <w:rFonts w:ascii="楷体_GB2312" w:eastAsia="楷体_GB2312" w:cs="楷体_GB2312"/>
          <w:color w:val="000000"/>
          <w:kern w:val="0"/>
          <w:sz w:val="18"/>
          <w:szCs w:val="18"/>
          <w:lang w:val="zh-CN"/>
        </w:rPr>
        <w:t xml:space="preserve">.9   </w:t>
      </w:r>
      <w:r w:rsidRPr="009D605B">
        <w:rPr>
          <w:rFonts w:ascii="黑体" w:eastAsia="黑体" w:cs="黑体"/>
          <w:color w:val="000000"/>
          <w:kern w:val="0"/>
          <w:sz w:val="18"/>
          <w:szCs w:val="18"/>
          <w:lang w:val="zh-CN"/>
        </w:rPr>
        <w:t xml:space="preserve"> [</w:t>
      </w:r>
      <w:r w:rsidRPr="009D605B">
        <w:rPr>
          <w:rFonts w:ascii="黑体" w:eastAsia="黑体" w:cs="黑体" w:hint="eastAsia"/>
          <w:color w:val="000000"/>
          <w:kern w:val="0"/>
          <w:sz w:val="18"/>
          <w:szCs w:val="18"/>
          <w:lang w:val="zh-CN"/>
        </w:rPr>
        <w:t>文献标志码</w:t>
      </w:r>
      <w:r w:rsidRPr="009D605B">
        <w:rPr>
          <w:rFonts w:ascii="黑体" w:eastAsia="黑体" w:cs="黑体"/>
          <w:color w:val="000000"/>
          <w:kern w:val="0"/>
          <w:sz w:val="18"/>
          <w:szCs w:val="18"/>
          <w:lang w:val="zh-CN"/>
        </w:rPr>
        <w:t>]</w:t>
      </w:r>
      <w:r w:rsidRPr="009D605B">
        <w:rPr>
          <w:rFonts w:ascii="楷体_GB2312" w:eastAsia="楷体_GB2312" w:cs="楷体_GB2312"/>
          <w:color w:val="000000"/>
          <w:kern w:val="0"/>
          <w:sz w:val="18"/>
          <w:szCs w:val="18"/>
          <w:lang w:val="zh-CN"/>
        </w:rPr>
        <w:t xml:space="preserve">B    </w:t>
      </w:r>
      <w:r w:rsidRPr="009D605B">
        <w:rPr>
          <w:rFonts w:ascii="黑体" w:eastAsia="黑体" w:cs="黑体"/>
          <w:color w:val="000000"/>
          <w:kern w:val="0"/>
          <w:sz w:val="18"/>
          <w:szCs w:val="18"/>
          <w:lang w:val="zh-CN"/>
        </w:rPr>
        <w:t>[</w:t>
      </w:r>
      <w:r w:rsidRPr="009D605B">
        <w:rPr>
          <w:rFonts w:ascii="黑体" w:eastAsia="黑体" w:cs="黑体" w:hint="eastAsia"/>
          <w:color w:val="000000"/>
          <w:kern w:val="0"/>
          <w:sz w:val="18"/>
          <w:szCs w:val="18"/>
          <w:lang w:val="zh-CN"/>
        </w:rPr>
        <w:t>文章编号</w:t>
      </w:r>
      <w:r w:rsidRPr="009D605B">
        <w:rPr>
          <w:rFonts w:ascii="黑体" w:eastAsia="黑体" w:cs="黑体"/>
          <w:color w:val="000000"/>
          <w:kern w:val="0"/>
          <w:sz w:val="18"/>
          <w:szCs w:val="18"/>
          <w:lang w:val="zh-CN"/>
        </w:rPr>
        <w:t>]</w:t>
      </w:r>
      <w:r w:rsidRPr="009D605B">
        <w:rPr>
          <w:rFonts w:ascii="楷体_GB2312" w:eastAsia="楷体_GB2312" w:cs="楷体_GB2312"/>
          <w:color w:val="000000"/>
          <w:kern w:val="0"/>
          <w:sz w:val="18"/>
          <w:szCs w:val="18"/>
          <w:lang w:val="zh-CN"/>
        </w:rPr>
        <w:t>1008-6455</w:t>
      </w:r>
      <w:r w:rsidRPr="009D605B">
        <w:rPr>
          <w:rFonts w:ascii="楷体_GB2312" w:eastAsia="楷体_GB2312" w:cs="楷体_GB2312" w:hint="eastAsia"/>
          <w:color w:val="000000"/>
          <w:kern w:val="0"/>
          <w:sz w:val="18"/>
          <w:szCs w:val="18"/>
          <w:lang w:val="zh-CN"/>
        </w:rPr>
        <w:t>（</w:t>
      </w:r>
      <w:r w:rsidRPr="009D605B">
        <w:rPr>
          <w:rFonts w:ascii="楷体_GB2312" w:eastAsia="楷体_GB2312" w:cs="楷体_GB2312"/>
          <w:color w:val="000000"/>
          <w:kern w:val="0"/>
          <w:sz w:val="18"/>
          <w:szCs w:val="18"/>
          <w:lang w:val="zh-CN"/>
        </w:rPr>
        <w:t>2022</w:t>
      </w:r>
      <w:r w:rsidRPr="009D605B">
        <w:rPr>
          <w:rFonts w:ascii="楷体_GB2312" w:eastAsia="楷体_GB2312" w:cs="楷体_GB2312" w:hint="eastAsia"/>
          <w:color w:val="000000"/>
          <w:kern w:val="0"/>
          <w:sz w:val="18"/>
          <w:szCs w:val="18"/>
          <w:lang w:val="zh-CN"/>
        </w:rPr>
        <w:t>）</w:t>
      </w:r>
      <w:r w:rsidRPr="009D605B">
        <w:rPr>
          <w:rFonts w:ascii="楷体_GB2312" w:eastAsia="楷体_GB2312" w:cs="楷体_GB2312"/>
          <w:color w:val="000000"/>
          <w:kern w:val="0"/>
          <w:sz w:val="18"/>
          <w:szCs w:val="18"/>
          <w:lang w:val="zh-CN"/>
        </w:rPr>
        <w:t>05-0159-04</w:t>
      </w:r>
    </w:p>
    <w:p w14:paraId="047ED09E" w14:textId="77777777" w:rsidR="009D605B" w:rsidRPr="009D605B" w:rsidRDefault="009D605B" w:rsidP="009D605B">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1015E1F7" w14:textId="77777777" w:rsidR="009D605B" w:rsidRPr="009D605B" w:rsidRDefault="009D605B" w:rsidP="009D605B">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000000"/>
          <w:kern w:val="0"/>
          <w:sz w:val="24"/>
          <w:szCs w:val="24"/>
        </w:rPr>
      </w:pPr>
      <w:r w:rsidRPr="009D605B">
        <w:rPr>
          <w:rFonts w:ascii="ITC Avant Garde Gothic Demi" w:eastAsia="方正小标宋_GBK" w:hAnsi="ITC Avant Garde Gothic Demi" w:cs="ITC Avant Garde Gothic Demi"/>
          <w:color w:val="000000"/>
          <w:kern w:val="0"/>
          <w:sz w:val="24"/>
          <w:szCs w:val="24"/>
        </w:rPr>
        <w:t>Application of Perioperative Education Based on Good-will Preposing Theory in Patients Undergoing Autologous Fat Transplantation for Facial Rejuvenation</w:t>
      </w:r>
    </w:p>
    <w:p w14:paraId="328A8CC9" w14:textId="77777777" w:rsidR="009D605B" w:rsidRPr="009D605B" w:rsidRDefault="009D605B" w:rsidP="009D605B">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9D605B">
        <w:rPr>
          <w:rFonts w:ascii="方正兰亭中黑_GBK" w:eastAsia="方正兰亭中黑_GBK" w:cs="方正兰亭中黑_GBK"/>
          <w:color w:val="000000"/>
          <w:kern w:val="0"/>
          <w:sz w:val="18"/>
          <w:szCs w:val="18"/>
        </w:rPr>
        <w:t>PENG Yi,HAO Xiaoyan,GUO Yuan,ZHANG Xueqin,WANG Juan,LI Yang</w:t>
      </w:r>
    </w:p>
    <w:p w14:paraId="0847BC83" w14:textId="77777777" w:rsidR="009D605B" w:rsidRPr="009D605B" w:rsidRDefault="009D605B" w:rsidP="009D605B">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9D605B">
        <w:rPr>
          <w:rFonts w:ascii="Times New Roman" w:eastAsia="方正小标宋_GBK" w:hAnsi="Times New Roman" w:cs="Times New Roman"/>
          <w:color w:val="000000"/>
          <w:kern w:val="0"/>
          <w:sz w:val="19"/>
          <w:szCs w:val="19"/>
        </w:rPr>
        <w:t>(Department of Plastic and Maxillofacial Surgery,the First Affiliated Hospital of Xi'an Jiaotong University,Xi’an 710061,Shaanxi,China)</w:t>
      </w:r>
    </w:p>
    <w:p w14:paraId="431797A0" w14:textId="77777777" w:rsidR="009D605B" w:rsidRPr="009D605B" w:rsidRDefault="009D605B" w:rsidP="009D605B">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7B20AB24" w14:textId="77777777" w:rsidR="009D605B" w:rsidRPr="009D605B" w:rsidRDefault="009D605B" w:rsidP="009D605B">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9D605B">
        <w:rPr>
          <w:rFonts w:ascii="Didot HTF-B06-" w:eastAsia="方正小标宋_GBK" w:hAnsi="Didot HTF-B06-" w:cs="Didot HTF-B06-"/>
          <w:b/>
          <w:bCs/>
          <w:color w:val="000000"/>
          <w:kern w:val="0"/>
          <w:sz w:val="19"/>
          <w:szCs w:val="19"/>
        </w:rPr>
        <w:t xml:space="preserve">Abstract: Objective </w:t>
      </w:r>
      <w:r w:rsidRPr="009D605B">
        <w:rPr>
          <w:rFonts w:ascii="Times New Roman" w:eastAsia="方正小标宋_GBK" w:hAnsi="Times New Roman" w:cs="Times New Roman"/>
          <w:color w:val="000000"/>
          <w:kern w:val="0"/>
          <w:sz w:val="19"/>
          <w:szCs w:val="19"/>
        </w:rPr>
        <w:t xml:space="preserve">To observe the effects of perioperative education based on good-will preposing theory on perioperative anxiety and postoperative recovery in patients undergoing autologous fat transplantation for facial rejuvenation. </w:t>
      </w:r>
      <w:r w:rsidRPr="009D605B">
        <w:rPr>
          <w:rFonts w:ascii="Didot HTF-B06-" w:eastAsia="方正小标宋_GBK" w:hAnsi="Didot HTF-B06-" w:cs="Didot HTF-B06-"/>
          <w:b/>
          <w:bCs/>
          <w:color w:val="000000"/>
          <w:kern w:val="0"/>
          <w:sz w:val="19"/>
          <w:szCs w:val="19"/>
        </w:rPr>
        <w:t>Methods</w:t>
      </w:r>
      <w:r w:rsidRPr="009D605B">
        <w:rPr>
          <w:rFonts w:ascii="Times New Roman" w:eastAsia="方正小标宋_GBK" w:hAnsi="Times New Roman" w:cs="Times New Roman"/>
          <w:color w:val="000000"/>
          <w:kern w:val="0"/>
          <w:sz w:val="19"/>
          <w:szCs w:val="19"/>
        </w:rPr>
        <w:t xml:space="preserve"> A total of 64 patients undergoing autologous fat transplantation for facial rejuvenation in the hospital were enrolled between April 2019 and April 2021. They were divided into control group (n=32) and observation group (n=32) by simple random grouping method. During surgery, control group was given routine nursing, while observation group was additionally given perioperative education based on good-will preposing theory. The education satisfaction, compliance behaviors, incidence of postoperative complications and preoperative preparation defects in both groups were evaluated. The self-efficacy of patients was assessed by general self-efficacy scale (GSES). After education patients’ cognition to autologous fat transplantation for facial rejuvenation in b</w:t>
      </w:r>
      <w:r w:rsidRPr="009D605B">
        <w:rPr>
          <w:rFonts w:ascii="Times New Roman" w:eastAsia="方正小标宋_GBK" w:hAnsi="Times New Roman" w:cs="Times New Roman"/>
          <w:color w:val="000000"/>
          <w:spacing w:val="-4"/>
          <w:kern w:val="0"/>
          <w:sz w:val="19"/>
          <w:szCs w:val="19"/>
        </w:rPr>
        <w:t xml:space="preserve">oth groups was evaluated. The depression and anxiety were  assessed by self-rating depression scale (SDS) and self-rating anxiety scale (SAS). Sleep quality was evaluated by Pittsburgh Sleep Quality Index (PSQI). </w:t>
      </w:r>
      <w:r w:rsidRPr="009D605B">
        <w:rPr>
          <w:rFonts w:ascii="Didot HTF-B06-" w:eastAsia="方正小标宋_GBK" w:hAnsi="Didot HTF-B06-" w:cs="Didot HTF-B06-"/>
          <w:b/>
          <w:bCs/>
          <w:color w:val="000000"/>
          <w:spacing w:val="-4"/>
          <w:kern w:val="0"/>
          <w:sz w:val="19"/>
          <w:szCs w:val="19"/>
        </w:rPr>
        <w:t xml:space="preserve">Results </w:t>
      </w:r>
      <w:r w:rsidRPr="009D605B">
        <w:rPr>
          <w:rFonts w:ascii="Times New Roman" w:eastAsia="方正小标宋_GBK" w:hAnsi="Times New Roman" w:cs="Times New Roman"/>
          <w:color w:val="000000"/>
          <w:spacing w:val="-4"/>
          <w:kern w:val="0"/>
          <w:sz w:val="19"/>
          <w:szCs w:val="19"/>
        </w:rPr>
        <w:t>After education, incidence of postoperative complications in observation group was significantly lower than that in control group (3.13% vs 18.75%) (P</w:t>
      </w:r>
      <w:r w:rsidRPr="009D605B">
        <w:rPr>
          <w:rFonts w:ascii="宋体" w:eastAsia="宋体" w:hAnsi="Times New Roman" w:cs="宋体" w:hint="eastAsia"/>
          <w:color w:val="000000"/>
          <w:spacing w:val="-4"/>
          <w:kern w:val="0"/>
          <w:sz w:val="19"/>
          <w:szCs w:val="19"/>
        </w:rPr>
        <w:t>＜</w:t>
      </w:r>
      <w:r w:rsidRPr="009D605B">
        <w:rPr>
          <w:rFonts w:ascii="Times New Roman" w:eastAsia="方正小标宋_GBK" w:hAnsi="Times New Roman" w:cs="Times New Roman"/>
          <w:color w:val="000000"/>
          <w:spacing w:val="-4"/>
          <w:kern w:val="0"/>
          <w:sz w:val="19"/>
          <w:szCs w:val="19"/>
        </w:rPr>
        <w:t>0.05</w:t>
      </w:r>
      <w:r w:rsidRPr="009D605B">
        <w:rPr>
          <w:rFonts w:ascii="Times New Roman" w:eastAsia="方正小标宋_GBK" w:hAnsi="Times New Roman" w:cs="Times New Roman"/>
          <w:color w:val="000000"/>
          <w:kern w:val="0"/>
          <w:sz w:val="19"/>
          <w:szCs w:val="19"/>
        </w:rPr>
        <w:t>), incidence of preoperative preparation defects was significantly lower than that in control group (6.25% vs 25.00%) (P</w:t>
      </w:r>
      <w:r w:rsidRPr="009D605B">
        <w:rPr>
          <w:rFonts w:ascii="宋体" w:eastAsia="宋体" w:hAnsi="Times New Roman" w:cs="宋体" w:hint="eastAsia"/>
          <w:color w:val="000000"/>
          <w:kern w:val="0"/>
          <w:sz w:val="19"/>
          <w:szCs w:val="19"/>
        </w:rPr>
        <w:t>＜</w:t>
      </w:r>
      <w:r w:rsidRPr="009D605B">
        <w:rPr>
          <w:rFonts w:ascii="Times New Roman" w:eastAsia="方正小标宋_GBK" w:hAnsi="Times New Roman" w:cs="Times New Roman"/>
          <w:color w:val="000000"/>
          <w:kern w:val="0"/>
          <w:sz w:val="19"/>
          <w:szCs w:val="19"/>
        </w:rPr>
        <w:t>0.05), cognition to autologous fat transplantation for facial rejuvenation was significantly higher than that in control group (P</w:t>
      </w:r>
      <w:r w:rsidRPr="009D605B">
        <w:rPr>
          <w:rFonts w:ascii="宋体" w:eastAsia="宋体" w:hAnsi="Times New Roman" w:cs="宋体" w:hint="eastAsia"/>
          <w:color w:val="000000"/>
          <w:kern w:val="0"/>
          <w:sz w:val="19"/>
          <w:szCs w:val="19"/>
        </w:rPr>
        <w:t>＜</w:t>
      </w:r>
      <w:r w:rsidRPr="009D605B">
        <w:rPr>
          <w:rFonts w:ascii="Times New Roman" w:eastAsia="方正小标宋_GBK" w:hAnsi="Times New Roman" w:cs="Times New Roman"/>
          <w:color w:val="000000"/>
          <w:kern w:val="0"/>
          <w:sz w:val="19"/>
          <w:szCs w:val="19"/>
        </w:rPr>
        <w:t>0.05), SDS, SAS and PSQI scores were significantly lower than those in control group (P</w:t>
      </w:r>
      <w:r w:rsidRPr="009D605B">
        <w:rPr>
          <w:rFonts w:ascii="宋体" w:eastAsia="宋体" w:hAnsi="Times New Roman" w:cs="宋体" w:hint="eastAsia"/>
          <w:color w:val="000000"/>
          <w:kern w:val="0"/>
          <w:sz w:val="19"/>
          <w:szCs w:val="19"/>
        </w:rPr>
        <w:t>＜</w:t>
      </w:r>
      <w:r w:rsidRPr="009D605B">
        <w:rPr>
          <w:rFonts w:ascii="Times New Roman" w:eastAsia="方正小标宋_GBK" w:hAnsi="Times New Roman" w:cs="Times New Roman"/>
          <w:color w:val="000000"/>
          <w:kern w:val="0"/>
          <w:sz w:val="19"/>
          <w:szCs w:val="19"/>
        </w:rPr>
        <w:t>0.05), and scores of education satisfaction, compliance behaviors and self-efficacy were significantly higher than those in control group (P</w:t>
      </w:r>
      <w:r w:rsidRPr="009D605B">
        <w:rPr>
          <w:rFonts w:ascii="宋体" w:eastAsia="宋体" w:hAnsi="Times New Roman" w:cs="宋体" w:hint="eastAsia"/>
          <w:color w:val="000000"/>
          <w:kern w:val="0"/>
          <w:sz w:val="19"/>
          <w:szCs w:val="19"/>
        </w:rPr>
        <w:t>＜</w:t>
      </w:r>
      <w:r w:rsidRPr="009D605B">
        <w:rPr>
          <w:rFonts w:ascii="Times New Roman" w:eastAsia="方正小标宋_GBK" w:hAnsi="Times New Roman" w:cs="Times New Roman"/>
          <w:color w:val="000000"/>
          <w:kern w:val="0"/>
          <w:sz w:val="19"/>
          <w:szCs w:val="19"/>
        </w:rPr>
        <w:t xml:space="preserve">0.05). </w:t>
      </w:r>
      <w:r w:rsidRPr="009D605B">
        <w:rPr>
          <w:rFonts w:ascii="Didot HTF-B06-" w:eastAsia="方正小标宋_GBK" w:hAnsi="Didot HTF-B06-" w:cs="Didot HTF-B06-"/>
          <w:b/>
          <w:bCs/>
          <w:color w:val="000000"/>
          <w:kern w:val="0"/>
          <w:sz w:val="19"/>
          <w:szCs w:val="19"/>
        </w:rPr>
        <w:t xml:space="preserve">Conclusion </w:t>
      </w:r>
      <w:r w:rsidRPr="009D605B">
        <w:rPr>
          <w:rFonts w:ascii="Times New Roman" w:eastAsia="方正小标宋_GBK" w:hAnsi="Times New Roman" w:cs="Times New Roman"/>
          <w:color w:val="000000"/>
          <w:kern w:val="0"/>
          <w:sz w:val="19"/>
          <w:szCs w:val="19"/>
        </w:rPr>
        <w:t>Perioperative education based on good-will preposing theory can better alleviate perioperative anxiety in patients undergoing autologous fat transplantation for facial rejuvenation, which is conducive to postoperative recovery of patients.</w:t>
      </w:r>
    </w:p>
    <w:p w14:paraId="2F527200" w14:textId="77777777" w:rsidR="009D605B" w:rsidRPr="009D605B" w:rsidRDefault="009D605B" w:rsidP="009D605B">
      <w:pPr>
        <w:autoSpaceDE w:val="0"/>
        <w:autoSpaceDN w:val="0"/>
        <w:adjustRightInd w:val="0"/>
        <w:spacing w:line="300" w:lineRule="atLeast"/>
        <w:textAlignment w:val="center"/>
        <w:rPr>
          <w:rFonts w:ascii="Times New Roman" w:eastAsia="方正小标宋_GBK" w:hAnsi="Times New Roman" w:cs="Times New Roman"/>
          <w:color w:val="000000"/>
          <w:spacing w:val="-4"/>
          <w:kern w:val="0"/>
          <w:sz w:val="19"/>
          <w:szCs w:val="19"/>
        </w:rPr>
      </w:pPr>
      <w:r w:rsidRPr="009D605B">
        <w:rPr>
          <w:rFonts w:ascii="Didot HTF-B06-" w:eastAsia="方正小标宋_GBK" w:hAnsi="Didot HTF-B06-" w:cs="Didot HTF-B06-"/>
          <w:b/>
          <w:bCs/>
          <w:color w:val="000000"/>
          <w:kern w:val="0"/>
          <w:sz w:val="19"/>
          <w:szCs w:val="19"/>
        </w:rPr>
        <w:t>Key words:</w:t>
      </w:r>
      <w:r w:rsidRPr="009D605B">
        <w:rPr>
          <w:rFonts w:ascii="Times New Roman" w:eastAsia="方正小标宋_GBK" w:hAnsi="Times New Roman" w:cs="Times New Roman"/>
          <w:color w:val="000000"/>
          <w:kern w:val="0"/>
          <w:sz w:val="19"/>
          <w:szCs w:val="19"/>
        </w:rPr>
        <w:t xml:space="preserve"> good-wil</w:t>
      </w:r>
      <w:r w:rsidRPr="009D605B">
        <w:rPr>
          <w:rFonts w:ascii="Times New Roman" w:eastAsia="方正小标宋_GBK" w:hAnsi="Times New Roman" w:cs="Times New Roman"/>
          <w:color w:val="000000"/>
          <w:spacing w:val="-4"/>
          <w:kern w:val="0"/>
          <w:sz w:val="19"/>
          <w:szCs w:val="19"/>
        </w:rPr>
        <w:t>l preposing theory; autologous fat transplantation; nursing satisfaction; anxiety; pittsburgh sleep quality index</w:t>
      </w:r>
    </w:p>
    <w:p w14:paraId="442981D9" w14:textId="51BC6F62" w:rsidR="00F37CA4" w:rsidRPr="009D605B" w:rsidRDefault="00F37CA4" w:rsidP="009D605B"/>
    <w:sectPr w:rsidR="00F37CA4" w:rsidRPr="009D605B" w:rsidSect="00EE0CB4">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E4BB6" w14:textId="77777777" w:rsidR="0003530E" w:rsidRDefault="0003530E" w:rsidP="00D23F7F">
      <w:r>
        <w:separator/>
      </w:r>
    </w:p>
  </w:endnote>
  <w:endnote w:type="continuationSeparator" w:id="0">
    <w:p w14:paraId="1B588FA4" w14:textId="77777777" w:rsidR="0003530E" w:rsidRDefault="0003530E"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C7EA3" w14:textId="77777777" w:rsidR="0003530E" w:rsidRDefault="0003530E" w:rsidP="00D23F7F">
      <w:r>
        <w:separator/>
      </w:r>
    </w:p>
  </w:footnote>
  <w:footnote w:type="continuationSeparator" w:id="0">
    <w:p w14:paraId="3C78A5A9" w14:textId="77777777" w:rsidR="0003530E" w:rsidRDefault="0003530E"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07A1F"/>
    <w:rsid w:val="0001518D"/>
    <w:rsid w:val="00021C6E"/>
    <w:rsid w:val="00031346"/>
    <w:rsid w:val="0003530E"/>
    <w:rsid w:val="00036FB3"/>
    <w:rsid w:val="00040D5D"/>
    <w:rsid w:val="00046274"/>
    <w:rsid w:val="00053A3C"/>
    <w:rsid w:val="00073129"/>
    <w:rsid w:val="000A1693"/>
    <w:rsid w:val="000A2912"/>
    <w:rsid w:val="000A50FC"/>
    <w:rsid w:val="000C42BF"/>
    <w:rsid w:val="00122841"/>
    <w:rsid w:val="0013362D"/>
    <w:rsid w:val="0015046F"/>
    <w:rsid w:val="00167F9A"/>
    <w:rsid w:val="001A0B15"/>
    <w:rsid w:val="001A1019"/>
    <w:rsid w:val="001D69DB"/>
    <w:rsid w:val="001F7D5A"/>
    <w:rsid w:val="00263E1B"/>
    <w:rsid w:val="0027229C"/>
    <w:rsid w:val="0028200B"/>
    <w:rsid w:val="0029201E"/>
    <w:rsid w:val="002A05AC"/>
    <w:rsid w:val="002B1803"/>
    <w:rsid w:val="002B3C2B"/>
    <w:rsid w:val="002E6956"/>
    <w:rsid w:val="003059A9"/>
    <w:rsid w:val="00306E10"/>
    <w:rsid w:val="0031343B"/>
    <w:rsid w:val="00323F2F"/>
    <w:rsid w:val="00327E6E"/>
    <w:rsid w:val="0034754B"/>
    <w:rsid w:val="003762AF"/>
    <w:rsid w:val="003A32F2"/>
    <w:rsid w:val="003B18A2"/>
    <w:rsid w:val="003B6359"/>
    <w:rsid w:val="003B6F32"/>
    <w:rsid w:val="003C025F"/>
    <w:rsid w:val="0040017D"/>
    <w:rsid w:val="00410567"/>
    <w:rsid w:val="00413C67"/>
    <w:rsid w:val="00475FEA"/>
    <w:rsid w:val="00484E70"/>
    <w:rsid w:val="004A2446"/>
    <w:rsid w:val="004A33B5"/>
    <w:rsid w:val="004A37F0"/>
    <w:rsid w:val="004A62F6"/>
    <w:rsid w:val="004B3559"/>
    <w:rsid w:val="004B633A"/>
    <w:rsid w:val="004C1FE6"/>
    <w:rsid w:val="004D67C0"/>
    <w:rsid w:val="004E484C"/>
    <w:rsid w:val="00506DAC"/>
    <w:rsid w:val="0052503D"/>
    <w:rsid w:val="00530A27"/>
    <w:rsid w:val="005469F8"/>
    <w:rsid w:val="0055108A"/>
    <w:rsid w:val="00552CBD"/>
    <w:rsid w:val="0056134D"/>
    <w:rsid w:val="0059693B"/>
    <w:rsid w:val="005C6447"/>
    <w:rsid w:val="005D305A"/>
    <w:rsid w:val="005D506B"/>
    <w:rsid w:val="00601624"/>
    <w:rsid w:val="006048C3"/>
    <w:rsid w:val="00611313"/>
    <w:rsid w:val="00625FE7"/>
    <w:rsid w:val="00643D28"/>
    <w:rsid w:val="00647A10"/>
    <w:rsid w:val="006564E5"/>
    <w:rsid w:val="0067171C"/>
    <w:rsid w:val="006725C1"/>
    <w:rsid w:val="00683D5C"/>
    <w:rsid w:val="00693645"/>
    <w:rsid w:val="006C275C"/>
    <w:rsid w:val="006C38F3"/>
    <w:rsid w:val="006E5AAE"/>
    <w:rsid w:val="00710F0F"/>
    <w:rsid w:val="00730366"/>
    <w:rsid w:val="00745F53"/>
    <w:rsid w:val="00770B65"/>
    <w:rsid w:val="0077496E"/>
    <w:rsid w:val="00792F92"/>
    <w:rsid w:val="007A01AA"/>
    <w:rsid w:val="007C196A"/>
    <w:rsid w:val="007C294F"/>
    <w:rsid w:val="007D05C2"/>
    <w:rsid w:val="007D3248"/>
    <w:rsid w:val="007E2D57"/>
    <w:rsid w:val="007E70D7"/>
    <w:rsid w:val="00822E2C"/>
    <w:rsid w:val="0083040C"/>
    <w:rsid w:val="00833162"/>
    <w:rsid w:val="0084040B"/>
    <w:rsid w:val="008573A9"/>
    <w:rsid w:val="00866941"/>
    <w:rsid w:val="00880E6C"/>
    <w:rsid w:val="008A6240"/>
    <w:rsid w:val="008D3F44"/>
    <w:rsid w:val="008E2730"/>
    <w:rsid w:val="008E6B86"/>
    <w:rsid w:val="009109D7"/>
    <w:rsid w:val="00931856"/>
    <w:rsid w:val="00944398"/>
    <w:rsid w:val="00947C45"/>
    <w:rsid w:val="009850DB"/>
    <w:rsid w:val="009910A6"/>
    <w:rsid w:val="009A73EB"/>
    <w:rsid w:val="009C3D09"/>
    <w:rsid w:val="009D605B"/>
    <w:rsid w:val="009E111D"/>
    <w:rsid w:val="009E4686"/>
    <w:rsid w:val="009F3495"/>
    <w:rsid w:val="009F7976"/>
    <w:rsid w:val="00A00D8E"/>
    <w:rsid w:val="00A12CD2"/>
    <w:rsid w:val="00A251AE"/>
    <w:rsid w:val="00A31D12"/>
    <w:rsid w:val="00A55A53"/>
    <w:rsid w:val="00A77B8E"/>
    <w:rsid w:val="00AC48E5"/>
    <w:rsid w:val="00AD33AA"/>
    <w:rsid w:val="00AD4965"/>
    <w:rsid w:val="00AF463E"/>
    <w:rsid w:val="00B0348E"/>
    <w:rsid w:val="00B14DB5"/>
    <w:rsid w:val="00B26CD3"/>
    <w:rsid w:val="00B6639A"/>
    <w:rsid w:val="00B76C9A"/>
    <w:rsid w:val="00B80045"/>
    <w:rsid w:val="00B817FA"/>
    <w:rsid w:val="00BA1089"/>
    <w:rsid w:val="00BA18EC"/>
    <w:rsid w:val="00BA79FD"/>
    <w:rsid w:val="00BA7C01"/>
    <w:rsid w:val="00BD3EA9"/>
    <w:rsid w:val="00BE2425"/>
    <w:rsid w:val="00BE48B2"/>
    <w:rsid w:val="00C056E9"/>
    <w:rsid w:val="00C265AA"/>
    <w:rsid w:val="00C412BA"/>
    <w:rsid w:val="00C4673F"/>
    <w:rsid w:val="00C50D8F"/>
    <w:rsid w:val="00C533EF"/>
    <w:rsid w:val="00C716EC"/>
    <w:rsid w:val="00C76963"/>
    <w:rsid w:val="00C85D9D"/>
    <w:rsid w:val="00CA62A7"/>
    <w:rsid w:val="00CB3243"/>
    <w:rsid w:val="00CB6E1C"/>
    <w:rsid w:val="00CB7C9B"/>
    <w:rsid w:val="00CC0563"/>
    <w:rsid w:val="00CD1387"/>
    <w:rsid w:val="00CE2B3A"/>
    <w:rsid w:val="00CE52EF"/>
    <w:rsid w:val="00D030E8"/>
    <w:rsid w:val="00D16763"/>
    <w:rsid w:val="00D23F7F"/>
    <w:rsid w:val="00D377C3"/>
    <w:rsid w:val="00D52B29"/>
    <w:rsid w:val="00DA6E93"/>
    <w:rsid w:val="00DB59CA"/>
    <w:rsid w:val="00DF5338"/>
    <w:rsid w:val="00E11B69"/>
    <w:rsid w:val="00E14262"/>
    <w:rsid w:val="00EB3B2D"/>
    <w:rsid w:val="00EB44A0"/>
    <w:rsid w:val="00ED5DCC"/>
    <w:rsid w:val="00EE0A7F"/>
    <w:rsid w:val="00EE2797"/>
    <w:rsid w:val="00EE2922"/>
    <w:rsid w:val="00EE5D1E"/>
    <w:rsid w:val="00EF5977"/>
    <w:rsid w:val="00F152CB"/>
    <w:rsid w:val="00F2111D"/>
    <w:rsid w:val="00F369D5"/>
    <w:rsid w:val="00F37CA4"/>
    <w:rsid w:val="00F42929"/>
    <w:rsid w:val="00F42FFC"/>
    <w:rsid w:val="00F603BF"/>
    <w:rsid w:val="00F63C76"/>
    <w:rsid w:val="00F72F18"/>
    <w:rsid w:val="00F74EF7"/>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1630</TotalTime>
  <Pages>1</Pages>
  <Words>511</Words>
  <Characters>2919</Characters>
  <Application>Microsoft Office Word</Application>
  <DocSecurity>0</DocSecurity>
  <Lines>24</Lines>
  <Paragraphs>6</Paragraphs>
  <ScaleCrop>false</ScaleCrop>
  <Company/>
  <LinksUpToDate>false</LinksUpToDate>
  <CharactersWithSpaces>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184</cp:revision>
  <cp:lastPrinted>2022-05-31T02:26:00Z</cp:lastPrinted>
  <dcterms:created xsi:type="dcterms:W3CDTF">2022-03-07T01:53:00Z</dcterms:created>
  <dcterms:modified xsi:type="dcterms:W3CDTF">2022-06-02T03:08:00Z</dcterms:modified>
</cp:coreProperties>
</file>