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A6199" w14:textId="77777777" w:rsidR="00AF48FE" w:rsidRDefault="00AF48FE" w:rsidP="00AF48FE">
      <w:r>
        <w:t>二期</w:t>
      </w:r>
      <w:r>
        <w:t>Nagata</w:t>
      </w:r>
      <w:r>
        <w:t>法耳廓再造与振动声桥同期置入治疗先天性外中耳畸形效果分析</w:t>
      </w:r>
      <w:r>
        <w:t xml:space="preserve"> </w:t>
      </w:r>
    </w:p>
    <w:p w14:paraId="3B25810C" w14:textId="77777777" w:rsidR="00AF48FE" w:rsidRDefault="00AF48FE" w:rsidP="00AF48FE">
      <w:pPr>
        <w:rPr>
          <w:rFonts w:hint="eastAsia"/>
        </w:rPr>
      </w:pPr>
    </w:p>
    <w:p w14:paraId="79CBA371" w14:textId="77777777" w:rsidR="00AF48FE" w:rsidRDefault="00AF48FE" w:rsidP="00AF48FE">
      <w:pPr>
        <w:rPr>
          <w:rFonts w:hint="eastAsia"/>
        </w:rPr>
      </w:pPr>
    </w:p>
    <w:p w14:paraId="1BBBB063" w14:textId="7D337BE8" w:rsidR="00AF48FE" w:rsidRDefault="00AF48FE" w:rsidP="00AF48FE">
      <w:r>
        <w:t>张梦萍，赵斯君，</w:t>
      </w:r>
      <w:proofErr w:type="gramStart"/>
      <w:r>
        <w:t>谢丽华</w:t>
      </w:r>
      <w:proofErr w:type="gramEnd"/>
      <w:r>
        <w:t xml:space="preserve"> </w:t>
      </w:r>
      <w:r>
        <w:t>（湖南省儿童医院耳鼻咽喉</w:t>
      </w:r>
      <w:r>
        <w:t>-</w:t>
      </w:r>
      <w:r>
        <w:t>头颈外科</w:t>
      </w:r>
      <w:r>
        <w:t xml:space="preserve"> </w:t>
      </w:r>
      <w:r>
        <w:t>湖南</w:t>
      </w:r>
      <w:r>
        <w:t xml:space="preserve"> </w:t>
      </w:r>
      <w:r>
        <w:t>长沙</w:t>
      </w:r>
      <w:r>
        <w:t xml:space="preserve"> 410000</w:t>
      </w:r>
      <w:r>
        <w:t>）</w:t>
      </w:r>
    </w:p>
    <w:p w14:paraId="340EFB36" w14:textId="77777777" w:rsidR="00AF48FE" w:rsidRDefault="00AF48FE" w:rsidP="00AF48FE"/>
    <w:p w14:paraId="7896C0CB" w14:textId="77777777" w:rsidR="00AF48FE" w:rsidRDefault="00AF48FE" w:rsidP="00AF48FE">
      <w:r>
        <w:t xml:space="preserve"> [</w:t>
      </w:r>
      <w:r>
        <w:t>摘要</w:t>
      </w:r>
      <w:r>
        <w:t>]</w:t>
      </w:r>
      <w:r>
        <w:t>目的：探究二期</w:t>
      </w:r>
      <w:r>
        <w:t>Nagata</w:t>
      </w:r>
      <w:r>
        <w:t>法耳廓再造与振动声桥（</w:t>
      </w:r>
      <w:r>
        <w:t xml:space="preserve">Vibrant </w:t>
      </w:r>
      <w:proofErr w:type="spellStart"/>
      <w:r>
        <w:t>soundbridge</w:t>
      </w:r>
      <w:proofErr w:type="spellEnd"/>
      <w:r>
        <w:t>，</w:t>
      </w:r>
      <w:r>
        <w:t>VSB</w:t>
      </w:r>
      <w:r>
        <w:t>）同期置入治疗先天性外中耳畸形</w:t>
      </w:r>
      <w:r>
        <w:t xml:space="preserve"> </w:t>
      </w:r>
      <w:r>
        <w:t>（</w:t>
      </w:r>
      <w:r>
        <w:t>Microtia and atresia</w:t>
      </w:r>
      <w:r>
        <w:t>，</w:t>
      </w:r>
      <w:r>
        <w:t>MA</w:t>
      </w:r>
      <w:r>
        <w:t>）的效果。方法：选取</w:t>
      </w:r>
      <w:r>
        <w:t>2019</w:t>
      </w:r>
      <w:r>
        <w:t>年</w:t>
      </w:r>
      <w:r>
        <w:t>1</w:t>
      </w:r>
      <w:r>
        <w:t>月</w:t>
      </w:r>
      <w:r>
        <w:t>-2021</w:t>
      </w:r>
      <w:r>
        <w:t>年</w:t>
      </w:r>
      <w:r>
        <w:t>9</w:t>
      </w:r>
      <w:r>
        <w:t>月期间本院收治的</w:t>
      </w:r>
      <w:r>
        <w:t>55</w:t>
      </w:r>
      <w:r>
        <w:t>例</w:t>
      </w:r>
      <w:r>
        <w:t>MA</w:t>
      </w:r>
      <w:r>
        <w:t>患者。根据治疗方案分为</w:t>
      </w:r>
      <w:r>
        <w:t xml:space="preserve"> </w:t>
      </w:r>
      <w:r>
        <w:t>两组，对照组</w:t>
      </w:r>
      <w:r>
        <w:t>28</w:t>
      </w:r>
      <w:r>
        <w:t>例，观察组</w:t>
      </w:r>
      <w:r>
        <w:t>27</w:t>
      </w:r>
      <w:r>
        <w:t>例。对照组采用三期皮肤软组织扩张术进行耳廓再造，</w:t>
      </w:r>
      <w:r>
        <w:t>VSB</w:t>
      </w:r>
      <w:r>
        <w:t>于耳廓再造</w:t>
      </w:r>
      <w:r>
        <w:rPr>
          <w:rFonts w:ascii="宋体" w:hAnsi="宋体" w:cs="宋体" w:hint="eastAsia"/>
        </w:rPr>
        <w:t>Ⅲ</w:t>
      </w:r>
      <w:proofErr w:type="gramStart"/>
      <w:r>
        <w:t>期同时</w:t>
      </w:r>
      <w:proofErr w:type="gramEnd"/>
      <w:r>
        <w:t>置入，观察组</w:t>
      </w:r>
      <w:r>
        <w:t xml:space="preserve"> </w:t>
      </w:r>
      <w:r>
        <w:t>采用二期</w:t>
      </w:r>
      <w:r>
        <w:t>Nagata</w:t>
      </w:r>
      <w:r>
        <w:t>法进行耳廓再造，</w:t>
      </w:r>
      <w:r>
        <w:t>VSB</w:t>
      </w:r>
      <w:r>
        <w:t>于</w:t>
      </w:r>
      <w:r>
        <w:rPr>
          <w:rFonts w:ascii="宋体" w:hAnsi="宋体" w:cs="宋体" w:hint="eastAsia"/>
        </w:rPr>
        <w:t>Ⅱ</w:t>
      </w:r>
      <w:proofErr w:type="gramStart"/>
      <w:r>
        <w:t>期同时</w:t>
      </w:r>
      <w:proofErr w:type="gramEnd"/>
      <w:r>
        <w:t>置入。术后</w:t>
      </w:r>
      <w:r>
        <w:t>7 d</w:t>
      </w:r>
      <w:r>
        <w:t>评估患者耳廓重建效果，听力情况及耳廓外观满意度，同时</w:t>
      </w:r>
      <w:r>
        <w:t xml:space="preserve"> </w:t>
      </w:r>
      <w:r>
        <w:t>统计患者术后耳部并发症情况。随访</w:t>
      </w:r>
      <w:r>
        <w:t>1</w:t>
      </w:r>
      <w:r>
        <w:t>年后再次评估患者听力情况及耳廓外观满意度。结果：观察组、对照组耳廓再造优良</w:t>
      </w:r>
      <w:r>
        <w:t xml:space="preserve"> </w:t>
      </w:r>
      <w:r>
        <w:t>率分别为</w:t>
      </w:r>
      <w:r>
        <w:t>92.59%</w:t>
      </w:r>
      <w:r>
        <w:t>（</w:t>
      </w:r>
      <w:r>
        <w:t>23/27</w:t>
      </w:r>
      <w:r>
        <w:t>）、</w:t>
      </w:r>
      <w:r>
        <w:t>89.29%</w:t>
      </w:r>
      <w:r>
        <w:t>（</w:t>
      </w:r>
      <w:r>
        <w:t>25/28</w:t>
      </w:r>
      <w:r>
        <w:t>），两组比较差异无统计学意义（</w:t>
      </w:r>
      <w:r>
        <w:t>P</w:t>
      </w:r>
      <w:r>
        <w:t>＞</w:t>
      </w:r>
      <w:r>
        <w:t>0.05</w:t>
      </w:r>
      <w:r>
        <w:t>）；与术前比较，术后</w:t>
      </w:r>
      <w:r>
        <w:t>7 d</w:t>
      </w:r>
      <w:r>
        <w:t>及术后</w:t>
      </w:r>
      <w:r>
        <w:t>1</w:t>
      </w:r>
      <w:r>
        <w:t>年</w:t>
      </w:r>
      <w:r>
        <w:t xml:space="preserve"> </w:t>
      </w:r>
      <w:r>
        <w:t>气导听阈值降低（</w:t>
      </w:r>
      <w:r>
        <w:t>P</w:t>
      </w:r>
      <w:r>
        <w:t>＜</w:t>
      </w:r>
      <w:r>
        <w:t>0.05</w:t>
      </w:r>
      <w:r>
        <w:t>），与术后</w:t>
      </w:r>
      <w:r>
        <w:t>7 d</w:t>
      </w:r>
      <w:r>
        <w:t>比较，术后</w:t>
      </w:r>
      <w:r>
        <w:t>1</w:t>
      </w:r>
      <w:r>
        <w:t>年气导听阈值降低（</w:t>
      </w:r>
      <w:r>
        <w:t>P</w:t>
      </w:r>
      <w:r>
        <w:t>＜</w:t>
      </w:r>
      <w:r>
        <w:t>0.05</w:t>
      </w:r>
      <w:r>
        <w:t>）；观察组</w:t>
      </w:r>
      <w:r>
        <w:t>MA</w:t>
      </w:r>
      <w:r>
        <w:t>术后</w:t>
      </w:r>
      <w:r>
        <w:t>1</w:t>
      </w:r>
      <w:r>
        <w:t>年气导听阈值低于对</w:t>
      </w:r>
      <w:r>
        <w:t xml:space="preserve"> </w:t>
      </w:r>
      <w:r>
        <w:t>照组（</w:t>
      </w:r>
      <w:r>
        <w:t>P</w:t>
      </w:r>
      <w:r>
        <w:t>＜</w:t>
      </w:r>
      <w:r>
        <w:t>0.05</w:t>
      </w:r>
      <w:r>
        <w:t>）；观察组术后并发症发生率为</w:t>
      </w:r>
      <w:r>
        <w:t>7.41%</w:t>
      </w:r>
      <w:r>
        <w:t>（</w:t>
      </w:r>
      <w:r>
        <w:t>2/27</w:t>
      </w:r>
      <w:r>
        <w:t>），低于对照组的</w:t>
      </w:r>
      <w:r>
        <w:t>28.57%</w:t>
      </w:r>
      <w:r>
        <w:t>（</w:t>
      </w:r>
      <w:r>
        <w:t>8/28</w:t>
      </w:r>
      <w:r>
        <w:t>），</w:t>
      </w:r>
      <w:r>
        <w:t>P</w:t>
      </w:r>
      <w:r>
        <w:t>＜</w:t>
      </w:r>
      <w:r>
        <w:t>0.05</w:t>
      </w:r>
      <w:r>
        <w:t>；观察组、对照组</w:t>
      </w:r>
      <w:r>
        <w:t xml:space="preserve"> </w:t>
      </w:r>
      <w:r>
        <w:t>术后</w:t>
      </w:r>
      <w:r>
        <w:t>7 d</w:t>
      </w:r>
      <w:r>
        <w:t>耳廓外观满意度分别为</w:t>
      </w:r>
      <w:r>
        <w:t>88.89%</w:t>
      </w:r>
      <w:r>
        <w:t>、</w:t>
      </w:r>
      <w:r>
        <w:t>92.86%</w:t>
      </w:r>
      <w:r>
        <w:t>，两组比较差异无统计学意义（</w:t>
      </w:r>
      <w:r>
        <w:t>P</w:t>
      </w:r>
      <w:r>
        <w:t>＞</w:t>
      </w:r>
      <w:r>
        <w:t>0.05</w:t>
      </w:r>
      <w:r>
        <w:t>）；</w:t>
      </w:r>
      <w:proofErr w:type="gramStart"/>
      <w:r>
        <w:t>观察组术后</w:t>
      </w:r>
      <w:r>
        <w:t>1</w:t>
      </w:r>
      <w:r>
        <w:t>年</w:t>
      </w:r>
      <w:proofErr w:type="gramEnd"/>
      <w:r>
        <w:t>耳廓外观满意度</w:t>
      </w:r>
      <w:r>
        <w:t xml:space="preserve"> </w:t>
      </w:r>
      <w:r>
        <w:t>分别为</w:t>
      </w:r>
      <w:r>
        <w:t>88.89%</w:t>
      </w:r>
      <w:r>
        <w:t>，高于对照组的</w:t>
      </w:r>
      <w:r>
        <w:t>64.29%</w:t>
      </w:r>
      <w:r>
        <w:t>（</w:t>
      </w:r>
      <w:r>
        <w:t>P</w:t>
      </w:r>
      <w:r>
        <w:t>＜</w:t>
      </w:r>
      <w:r>
        <w:t>0.05</w:t>
      </w:r>
      <w:r>
        <w:t>）。结论：二期</w:t>
      </w:r>
      <w:r>
        <w:t>Nagata</w:t>
      </w:r>
      <w:r>
        <w:t>法耳廓再造与</w:t>
      </w:r>
      <w:r>
        <w:t>VSB</w:t>
      </w:r>
      <w:r>
        <w:t>同期置入治疗</w:t>
      </w:r>
      <w:r>
        <w:t>MA</w:t>
      </w:r>
      <w:r>
        <w:t>具有良好的耳廓再造</w:t>
      </w:r>
      <w:r>
        <w:t xml:space="preserve"> </w:t>
      </w:r>
      <w:r>
        <w:t>效果，能够降低气导听阈值及术后耳部并发症，经长期随访发现该方案仍具有较高的耳廓外观满意度。</w:t>
      </w:r>
    </w:p>
    <w:p w14:paraId="23AE5534" w14:textId="77777777" w:rsidR="00AF48FE" w:rsidRDefault="00AF48FE" w:rsidP="00AF48FE"/>
    <w:p w14:paraId="24745630" w14:textId="77777777" w:rsidR="00AF48FE" w:rsidRDefault="00AF48FE" w:rsidP="00AF48FE">
      <w:r>
        <w:t xml:space="preserve"> [</w:t>
      </w:r>
      <w:r>
        <w:t>关键词</w:t>
      </w:r>
      <w:r>
        <w:t>]Nagata</w:t>
      </w:r>
      <w:r>
        <w:t>法；皮肤软组织扩张术；耳廓再造；振动声桥同期置入；先天性外中耳畸形</w:t>
      </w:r>
      <w:r>
        <w:t xml:space="preserve"> </w:t>
      </w:r>
    </w:p>
    <w:p w14:paraId="13A3EAD6" w14:textId="77777777" w:rsidR="00AF48FE" w:rsidRDefault="00AF48FE" w:rsidP="00AF48FE"/>
    <w:p w14:paraId="25FCF627" w14:textId="77777777" w:rsidR="00AF48FE" w:rsidRDefault="00AF48FE" w:rsidP="00AF48FE">
      <w:r>
        <w:t>[</w:t>
      </w:r>
      <w:r>
        <w:t>中图分类号</w:t>
      </w:r>
      <w:r>
        <w:t>]R762 [</w:t>
      </w:r>
      <w:r>
        <w:t>文献标志码</w:t>
      </w:r>
      <w:r>
        <w:t>]A [</w:t>
      </w:r>
      <w:r>
        <w:t>文章编号</w:t>
      </w:r>
      <w:r>
        <w:t>]1008-6455</w:t>
      </w:r>
      <w:r>
        <w:t>（</w:t>
      </w:r>
      <w:r>
        <w:t>2023</w:t>
      </w:r>
      <w:r>
        <w:t>）</w:t>
      </w:r>
      <w:r>
        <w:t xml:space="preserve">09-0065-04 </w:t>
      </w:r>
    </w:p>
    <w:p w14:paraId="564B30BA" w14:textId="77777777" w:rsidR="00AF48FE" w:rsidRDefault="00AF48FE" w:rsidP="00AF48FE"/>
    <w:p w14:paraId="3CF3F2F4" w14:textId="77777777" w:rsidR="00AF48FE" w:rsidRDefault="00AF48FE" w:rsidP="00AF48FE">
      <w:r>
        <w:t xml:space="preserve">Analysis of the Effect of Two-stage Nagata Auricle Reconstruction and Simultaneous Placement of Vibration Bridge in the Treatment of Congenital External and Middle Ear Malformations </w:t>
      </w:r>
    </w:p>
    <w:p w14:paraId="5654F518" w14:textId="77777777" w:rsidR="00AF48FE" w:rsidRDefault="00AF48FE" w:rsidP="00AF48FE"/>
    <w:p w14:paraId="2F68F1EE" w14:textId="77777777" w:rsidR="00AF48FE" w:rsidRDefault="00AF48FE" w:rsidP="00AF48FE">
      <w:r>
        <w:t xml:space="preserve">ZHANG </w:t>
      </w:r>
      <w:proofErr w:type="spellStart"/>
      <w:proofErr w:type="gramStart"/>
      <w:r>
        <w:t>Mengping,ZHAO</w:t>
      </w:r>
      <w:proofErr w:type="spellEnd"/>
      <w:proofErr w:type="gramEnd"/>
      <w:r>
        <w:t xml:space="preserve"> </w:t>
      </w:r>
      <w:proofErr w:type="spellStart"/>
      <w:r>
        <w:t>Sijun,XIE</w:t>
      </w:r>
      <w:proofErr w:type="spellEnd"/>
      <w:r>
        <w:t xml:space="preserve"> Lihua</w:t>
      </w:r>
    </w:p>
    <w:p w14:paraId="307D55D6" w14:textId="77777777" w:rsidR="00AF48FE" w:rsidRDefault="00AF48FE" w:rsidP="00AF48FE"/>
    <w:p w14:paraId="176377FE" w14:textId="681609A8" w:rsidR="00AF48FE" w:rsidRDefault="00AF48FE" w:rsidP="00AF48FE">
      <w:r>
        <w:t xml:space="preserve"> (Department of Otolaryngology Head and Neck </w:t>
      </w:r>
      <w:proofErr w:type="spellStart"/>
      <w:proofErr w:type="gramStart"/>
      <w:r>
        <w:t>Surgery,Hunan</w:t>
      </w:r>
      <w:proofErr w:type="spellEnd"/>
      <w:proofErr w:type="gramEnd"/>
      <w:r>
        <w:t xml:space="preserve"> Children's </w:t>
      </w:r>
      <w:proofErr w:type="spellStart"/>
      <w:r>
        <w:t>Hospital,Changsha</w:t>
      </w:r>
      <w:proofErr w:type="spellEnd"/>
      <w:r>
        <w:t xml:space="preserve"> 410000,Hunan,China) </w:t>
      </w:r>
    </w:p>
    <w:p w14:paraId="1C238A8B" w14:textId="77777777" w:rsidR="00AF48FE" w:rsidRDefault="00AF48FE" w:rsidP="00AF48FE"/>
    <w:p w14:paraId="2BD87005" w14:textId="5DFF09B0" w:rsidR="00AF48FE" w:rsidRDefault="00AF48FE" w:rsidP="00AF48FE">
      <w:r>
        <w:t xml:space="preserve">Abstract: Objective To explore the efficacy of secondary Nagata auricular reconstruction and concurrent implantation of vibrating </w:t>
      </w:r>
      <w:proofErr w:type="spellStart"/>
      <w:r>
        <w:t>soundbridge</w:t>
      </w:r>
      <w:proofErr w:type="spellEnd"/>
      <w:r>
        <w:t xml:space="preserve"> (VSB) in the treatment of congenital external middle ear malformation (microtia and atresia (MA). Methods Fifty-fi </w:t>
      </w:r>
      <w:proofErr w:type="spellStart"/>
      <w:r>
        <w:t>ve</w:t>
      </w:r>
      <w:proofErr w:type="spellEnd"/>
      <w:r>
        <w:t xml:space="preserve"> patients with MA admitted to our hospital from January 2019 to September 2021 were selected. According to the treatment plan, the patients were divided into two groups: control group (28 cases) and observation group (27 cases). In the control group, three stages of skin and soft tissue dilatation were used for auricle reconstruction, and VSB was inserted simultaneously in the third stage of auricle reconstruction. In the observation group, the second stage Nagata method was used for auricle reconstruction, and VSB was placed in the second stage simultaneously. The eff </w:t>
      </w:r>
      <w:proofErr w:type="spellStart"/>
      <w:r>
        <w:t>ects</w:t>
      </w:r>
      <w:proofErr w:type="spellEnd"/>
      <w:r>
        <w:t xml:space="preserve"> of auricle reconstruction, hearing status and satisfaction with auricle appearance were evaluated 7 days after surgery, and the postoperative ear complications were counted. After 1 year of follow-up, the patients' hearing </w:t>
      </w:r>
      <w:r>
        <w:lastRenderedPageBreak/>
        <w:t xml:space="preserve">and auricle appearance satisfaction were evaluated again. Results The excellent and good rates of auricle reconstruction in observation group and control group were 92.59% (23/27) and 89.29% (25/28), respectively. There was no </w:t>
      </w:r>
      <w:proofErr w:type="spellStart"/>
      <w:r>
        <w:t>signifi</w:t>
      </w:r>
      <w:proofErr w:type="spellEnd"/>
      <w:r>
        <w:t xml:space="preserve"> cant diff </w:t>
      </w:r>
      <w:proofErr w:type="spellStart"/>
      <w:r>
        <w:t>erence</w:t>
      </w:r>
      <w:proofErr w:type="spellEnd"/>
      <w:r>
        <w:t xml:space="preserve"> between the two groups (P</w:t>
      </w:r>
      <w:r>
        <w:t>＞</w:t>
      </w:r>
      <w:r>
        <w:t>0.05). Compared with the preoperative, the pure tone hearing threshold was decreased at 7 d and 1 year after surgery (P</w:t>
      </w:r>
      <w:r>
        <w:t>＜</w:t>
      </w:r>
      <w:r>
        <w:t>0.05), compared with 7 d after surgery, the pure tone hearing threshold was decreased at 1 year after surgery (P</w:t>
      </w:r>
      <w:r>
        <w:t>＜</w:t>
      </w:r>
      <w:r>
        <w:t>0.05). The pure tone hearing threshold of the observation group was lower than that of the control group 1 year after MA operation (P</w:t>
      </w:r>
      <w:r>
        <w:t>＜</w:t>
      </w:r>
      <w:r>
        <w:t>0.05). The incidence of postoperative complications in the observation group was 7.41% (2/27), lower than that in the control group (28.57%) (8/28), P</w:t>
      </w:r>
      <w:r>
        <w:t>＜</w:t>
      </w:r>
      <w:r>
        <w:t>0.05. The</w:t>
      </w:r>
      <w:r>
        <w:t xml:space="preserve"> </w:t>
      </w:r>
      <w:r>
        <w:t xml:space="preserve">satisfaction of auricle appearance in the observation group and the control group was 88.89% and 92.86%, respectively, 7 days after surgery, and there was no </w:t>
      </w:r>
      <w:proofErr w:type="spellStart"/>
      <w:r>
        <w:t>signifi</w:t>
      </w:r>
      <w:proofErr w:type="spellEnd"/>
      <w:r>
        <w:t xml:space="preserve"> cant diff </w:t>
      </w:r>
      <w:proofErr w:type="spellStart"/>
      <w:r>
        <w:t>erence</w:t>
      </w:r>
      <w:proofErr w:type="spellEnd"/>
      <w:r>
        <w:t xml:space="preserve"> between the two groups (P</w:t>
      </w:r>
      <w:r>
        <w:t>＞</w:t>
      </w:r>
      <w:r>
        <w:t>0.05). The satisfaction of auricle appearance in the observation group was 88.89%, which was higher than that in the control group (64.29%), P</w:t>
      </w:r>
      <w:r>
        <w:t>＜</w:t>
      </w:r>
      <w:r>
        <w:t xml:space="preserve">0.05. Conclusion The second-stage Nagata auricle reconstruction and the simultaneous placement of VSB in the treatment of MA have a good eff </w:t>
      </w:r>
      <w:proofErr w:type="spellStart"/>
      <w:r>
        <w:t>ect</w:t>
      </w:r>
      <w:proofErr w:type="spellEnd"/>
      <w:r>
        <w:t xml:space="preserve"> on auricle reconstruction, which can reduce the threshold of air conduction and postoperative ear complications. Long-term follow-up shows that this program still has a high degree of satisfaction on auricle appearance. </w:t>
      </w:r>
    </w:p>
    <w:p w14:paraId="3AC00B77" w14:textId="77777777" w:rsidR="00AF48FE" w:rsidRDefault="00AF48FE" w:rsidP="00AF48FE"/>
    <w:p w14:paraId="7E1D6C62" w14:textId="294E4529" w:rsidR="004B5E3D" w:rsidRPr="00AF48FE" w:rsidRDefault="00AF48FE" w:rsidP="00AF48FE">
      <w:r>
        <w:t xml:space="preserve">Key words: Nagata method; skin soft tissue dilatation; auricle reconstruction; vibrant </w:t>
      </w:r>
      <w:proofErr w:type="spellStart"/>
      <w:r>
        <w:t>soundbridge</w:t>
      </w:r>
      <w:proofErr w:type="spellEnd"/>
      <w:r>
        <w:t>; microtia and atresia</w:t>
      </w:r>
    </w:p>
    <w:sectPr w:rsidR="004B5E3D" w:rsidRPr="00AF48F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4E6C7" w14:textId="77777777" w:rsidR="00C54656" w:rsidRDefault="00C54656" w:rsidP="00762353">
      <w:r>
        <w:separator/>
      </w:r>
    </w:p>
  </w:endnote>
  <w:endnote w:type="continuationSeparator" w:id="0">
    <w:p w14:paraId="541BEA9F" w14:textId="77777777" w:rsidR="00C54656" w:rsidRDefault="00C54656" w:rsidP="00762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8A24BA94-FE51-47FD-9678-F91D7136D6B7}"/>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60E79" w14:textId="77777777" w:rsidR="00C54656" w:rsidRDefault="00C54656" w:rsidP="00762353">
      <w:r>
        <w:separator/>
      </w:r>
    </w:p>
  </w:footnote>
  <w:footnote w:type="continuationSeparator" w:id="0">
    <w:p w14:paraId="325F03CB" w14:textId="77777777" w:rsidR="00C54656" w:rsidRDefault="00C54656" w:rsidP="007623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D1530"/>
    <w:rsid w:val="000D38A0"/>
    <w:rsid w:val="000D4D39"/>
    <w:rsid w:val="000E46FC"/>
    <w:rsid w:val="000E5F2D"/>
    <w:rsid w:val="000F0490"/>
    <w:rsid w:val="000F500C"/>
    <w:rsid w:val="000F6A46"/>
    <w:rsid w:val="0010184F"/>
    <w:rsid w:val="0011007C"/>
    <w:rsid w:val="00114FA6"/>
    <w:rsid w:val="00120E9C"/>
    <w:rsid w:val="0012241D"/>
    <w:rsid w:val="0013114B"/>
    <w:rsid w:val="001353EA"/>
    <w:rsid w:val="001360E5"/>
    <w:rsid w:val="00137107"/>
    <w:rsid w:val="00137ABE"/>
    <w:rsid w:val="00137CCE"/>
    <w:rsid w:val="001407B9"/>
    <w:rsid w:val="00143E2D"/>
    <w:rsid w:val="00144332"/>
    <w:rsid w:val="001460DE"/>
    <w:rsid w:val="00146F11"/>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5348"/>
    <w:rsid w:val="001964BB"/>
    <w:rsid w:val="001A1F94"/>
    <w:rsid w:val="001A1FB2"/>
    <w:rsid w:val="001D1E26"/>
    <w:rsid w:val="001D3916"/>
    <w:rsid w:val="001D49F3"/>
    <w:rsid w:val="001E1B6F"/>
    <w:rsid w:val="001E1C51"/>
    <w:rsid w:val="001E28AB"/>
    <w:rsid w:val="001E4621"/>
    <w:rsid w:val="001E6B7E"/>
    <w:rsid w:val="001E799E"/>
    <w:rsid w:val="00200042"/>
    <w:rsid w:val="0020132F"/>
    <w:rsid w:val="00203710"/>
    <w:rsid w:val="00212C9E"/>
    <w:rsid w:val="00213BCF"/>
    <w:rsid w:val="00214A76"/>
    <w:rsid w:val="00227991"/>
    <w:rsid w:val="002327A2"/>
    <w:rsid w:val="00232F23"/>
    <w:rsid w:val="00244885"/>
    <w:rsid w:val="00251F95"/>
    <w:rsid w:val="00255034"/>
    <w:rsid w:val="00263916"/>
    <w:rsid w:val="002773D8"/>
    <w:rsid w:val="00277E64"/>
    <w:rsid w:val="00282AC2"/>
    <w:rsid w:val="00285C8C"/>
    <w:rsid w:val="00286638"/>
    <w:rsid w:val="002918D1"/>
    <w:rsid w:val="00296617"/>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423DD"/>
    <w:rsid w:val="00342627"/>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40270F"/>
    <w:rsid w:val="00411CA3"/>
    <w:rsid w:val="00414CCC"/>
    <w:rsid w:val="00415A9A"/>
    <w:rsid w:val="00415ED0"/>
    <w:rsid w:val="00421391"/>
    <w:rsid w:val="00426B46"/>
    <w:rsid w:val="00434045"/>
    <w:rsid w:val="0043616F"/>
    <w:rsid w:val="0044367C"/>
    <w:rsid w:val="00443808"/>
    <w:rsid w:val="00444503"/>
    <w:rsid w:val="0045640A"/>
    <w:rsid w:val="004601E5"/>
    <w:rsid w:val="004619C3"/>
    <w:rsid w:val="004711B3"/>
    <w:rsid w:val="0047158A"/>
    <w:rsid w:val="00473D06"/>
    <w:rsid w:val="0047491C"/>
    <w:rsid w:val="004779A7"/>
    <w:rsid w:val="00481E1B"/>
    <w:rsid w:val="00490408"/>
    <w:rsid w:val="004915A9"/>
    <w:rsid w:val="004A469A"/>
    <w:rsid w:val="004A5C83"/>
    <w:rsid w:val="004B03B8"/>
    <w:rsid w:val="004B1AA2"/>
    <w:rsid w:val="004B5E3D"/>
    <w:rsid w:val="004B6006"/>
    <w:rsid w:val="004C6DA4"/>
    <w:rsid w:val="004D49F2"/>
    <w:rsid w:val="004D7463"/>
    <w:rsid w:val="004D7881"/>
    <w:rsid w:val="004D7BA8"/>
    <w:rsid w:val="004E6D8C"/>
    <w:rsid w:val="004E73D3"/>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3253C"/>
    <w:rsid w:val="00633E34"/>
    <w:rsid w:val="00633F3B"/>
    <w:rsid w:val="00634AC2"/>
    <w:rsid w:val="00635A4A"/>
    <w:rsid w:val="0063707C"/>
    <w:rsid w:val="00640151"/>
    <w:rsid w:val="00642902"/>
    <w:rsid w:val="006432D8"/>
    <w:rsid w:val="0065258B"/>
    <w:rsid w:val="006560C2"/>
    <w:rsid w:val="00656889"/>
    <w:rsid w:val="006602C5"/>
    <w:rsid w:val="006617EF"/>
    <w:rsid w:val="006672AF"/>
    <w:rsid w:val="00667D14"/>
    <w:rsid w:val="00670386"/>
    <w:rsid w:val="006706A4"/>
    <w:rsid w:val="006737ED"/>
    <w:rsid w:val="00674B20"/>
    <w:rsid w:val="006753C0"/>
    <w:rsid w:val="00684D3A"/>
    <w:rsid w:val="006A4A02"/>
    <w:rsid w:val="006A521A"/>
    <w:rsid w:val="006B2B32"/>
    <w:rsid w:val="006B3AAC"/>
    <w:rsid w:val="006B4B53"/>
    <w:rsid w:val="006B757C"/>
    <w:rsid w:val="006C314C"/>
    <w:rsid w:val="006C4142"/>
    <w:rsid w:val="006D0D53"/>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8267B"/>
    <w:rsid w:val="00796E83"/>
    <w:rsid w:val="007A3FAF"/>
    <w:rsid w:val="007B0D87"/>
    <w:rsid w:val="007C0EFB"/>
    <w:rsid w:val="007C55D7"/>
    <w:rsid w:val="007C7C2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30FBE"/>
    <w:rsid w:val="00835F67"/>
    <w:rsid w:val="00851D83"/>
    <w:rsid w:val="008606A5"/>
    <w:rsid w:val="008622EF"/>
    <w:rsid w:val="00873BFE"/>
    <w:rsid w:val="00882EF6"/>
    <w:rsid w:val="008844D5"/>
    <w:rsid w:val="008853BA"/>
    <w:rsid w:val="008906C5"/>
    <w:rsid w:val="00891457"/>
    <w:rsid w:val="008A02F2"/>
    <w:rsid w:val="008A77CA"/>
    <w:rsid w:val="008B0D7C"/>
    <w:rsid w:val="008B25EE"/>
    <w:rsid w:val="008C4A42"/>
    <w:rsid w:val="008C6EF7"/>
    <w:rsid w:val="008C7494"/>
    <w:rsid w:val="008D06AF"/>
    <w:rsid w:val="008D1846"/>
    <w:rsid w:val="008D5BA0"/>
    <w:rsid w:val="008E0187"/>
    <w:rsid w:val="008E739C"/>
    <w:rsid w:val="008E7A26"/>
    <w:rsid w:val="008F2E45"/>
    <w:rsid w:val="008F667A"/>
    <w:rsid w:val="00902921"/>
    <w:rsid w:val="009050DA"/>
    <w:rsid w:val="00905B1F"/>
    <w:rsid w:val="0091183A"/>
    <w:rsid w:val="00913122"/>
    <w:rsid w:val="0091684C"/>
    <w:rsid w:val="00927650"/>
    <w:rsid w:val="00931DB6"/>
    <w:rsid w:val="00934DDE"/>
    <w:rsid w:val="009404BD"/>
    <w:rsid w:val="009438FB"/>
    <w:rsid w:val="0094557B"/>
    <w:rsid w:val="00950DEC"/>
    <w:rsid w:val="00951654"/>
    <w:rsid w:val="00953A14"/>
    <w:rsid w:val="00955CA6"/>
    <w:rsid w:val="00957294"/>
    <w:rsid w:val="009603BA"/>
    <w:rsid w:val="00962095"/>
    <w:rsid w:val="00962CF7"/>
    <w:rsid w:val="00964521"/>
    <w:rsid w:val="009659C7"/>
    <w:rsid w:val="00976F02"/>
    <w:rsid w:val="00981103"/>
    <w:rsid w:val="00981477"/>
    <w:rsid w:val="00987C6A"/>
    <w:rsid w:val="009917DB"/>
    <w:rsid w:val="00991FEF"/>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119D5"/>
    <w:rsid w:val="00A200A3"/>
    <w:rsid w:val="00A24D59"/>
    <w:rsid w:val="00A26BB2"/>
    <w:rsid w:val="00A33E6F"/>
    <w:rsid w:val="00A34A9E"/>
    <w:rsid w:val="00A353A0"/>
    <w:rsid w:val="00A36638"/>
    <w:rsid w:val="00A4287F"/>
    <w:rsid w:val="00A42C2D"/>
    <w:rsid w:val="00A4544F"/>
    <w:rsid w:val="00A513C4"/>
    <w:rsid w:val="00A5288B"/>
    <w:rsid w:val="00A5473A"/>
    <w:rsid w:val="00A57AD1"/>
    <w:rsid w:val="00A65253"/>
    <w:rsid w:val="00A675B0"/>
    <w:rsid w:val="00A71BDA"/>
    <w:rsid w:val="00A71FCC"/>
    <w:rsid w:val="00A8531D"/>
    <w:rsid w:val="00A86CAC"/>
    <w:rsid w:val="00A87C2B"/>
    <w:rsid w:val="00A967E3"/>
    <w:rsid w:val="00AA1E7F"/>
    <w:rsid w:val="00AA2214"/>
    <w:rsid w:val="00AA70CC"/>
    <w:rsid w:val="00AA7A1E"/>
    <w:rsid w:val="00AB6E44"/>
    <w:rsid w:val="00AC2B04"/>
    <w:rsid w:val="00AC432F"/>
    <w:rsid w:val="00AC457F"/>
    <w:rsid w:val="00AC7C12"/>
    <w:rsid w:val="00AD0BC6"/>
    <w:rsid w:val="00AD1297"/>
    <w:rsid w:val="00AD19AC"/>
    <w:rsid w:val="00AD48A0"/>
    <w:rsid w:val="00AD7C2D"/>
    <w:rsid w:val="00AE2938"/>
    <w:rsid w:val="00AE297F"/>
    <w:rsid w:val="00AF48FE"/>
    <w:rsid w:val="00B114A0"/>
    <w:rsid w:val="00B157C6"/>
    <w:rsid w:val="00B20220"/>
    <w:rsid w:val="00B20E9B"/>
    <w:rsid w:val="00B22D7E"/>
    <w:rsid w:val="00B24EE5"/>
    <w:rsid w:val="00B25FB7"/>
    <w:rsid w:val="00B26738"/>
    <w:rsid w:val="00B26DEA"/>
    <w:rsid w:val="00B271C8"/>
    <w:rsid w:val="00B37888"/>
    <w:rsid w:val="00B44B30"/>
    <w:rsid w:val="00B51139"/>
    <w:rsid w:val="00B530E8"/>
    <w:rsid w:val="00B53D93"/>
    <w:rsid w:val="00B54C60"/>
    <w:rsid w:val="00B55305"/>
    <w:rsid w:val="00B5763D"/>
    <w:rsid w:val="00B578E3"/>
    <w:rsid w:val="00B730F4"/>
    <w:rsid w:val="00B75808"/>
    <w:rsid w:val="00B779CB"/>
    <w:rsid w:val="00B8339A"/>
    <w:rsid w:val="00B8624E"/>
    <w:rsid w:val="00B933C7"/>
    <w:rsid w:val="00B9586A"/>
    <w:rsid w:val="00B97854"/>
    <w:rsid w:val="00BA24F8"/>
    <w:rsid w:val="00BA2959"/>
    <w:rsid w:val="00BA2F9F"/>
    <w:rsid w:val="00BA30DF"/>
    <w:rsid w:val="00BA4D15"/>
    <w:rsid w:val="00BB30CE"/>
    <w:rsid w:val="00BC08C2"/>
    <w:rsid w:val="00BC2D8C"/>
    <w:rsid w:val="00BD3E38"/>
    <w:rsid w:val="00BD68CB"/>
    <w:rsid w:val="00BE0EBF"/>
    <w:rsid w:val="00C01821"/>
    <w:rsid w:val="00C02216"/>
    <w:rsid w:val="00C02C4F"/>
    <w:rsid w:val="00C1569D"/>
    <w:rsid w:val="00C16BAD"/>
    <w:rsid w:val="00C22FA9"/>
    <w:rsid w:val="00C242E0"/>
    <w:rsid w:val="00C24EEB"/>
    <w:rsid w:val="00C251AB"/>
    <w:rsid w:val="00C258DF"/>
    <w:rsid w:val="00C320C2"/>
    <w:rsid w:val="00C323AD"/>
    <w:rsid w:val="00C35CCF"/>
    <w:rsid w:val="00C37C5F"/>
    <w:rsid w:val="00C37F32"/>
    <w:rsid w:val="00C54656"/>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50A7"/>
    <w:rsid w:val="00DD033A"/>
    <w:rsid w:val="00DD2B56"/>
    <w:rsid w:val="00DD3209"/>
    <w:rsid w:val="00DD3ABA"/>
    <w:rsid w:val="00DD538C"/>
    <w:rsid w:val="00DF1825"/>
    <w:rsid w:val="00DF3111"/>
    <w:rsid w:val="00E00A1C"/>
    <w:rsid w:val="00E04F11"/>
    <w:rsid w:val="00E05EE3"/>
    <w:rsid w:val="00E07BDE"/>
    <w:rsid w:val="00E12AD1"/>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64DD"/>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6932C3"/>
  <w15:docId w15:val="{2844E137-09F0-4FD6-A162-5CFD50907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 w:type="paragraph" w:styleId="a4">
    <w:name w:val="header"/>
    <w:basedOn w:val="a"/>
    <w:link w:val="a5"/>
    <w:uiPriority w:val="99"/>
    <w:unhideWhenUsed/>
    <w:rsid w:val="00762353"/>
    <w:pPr>
      <w:tabs>
        <w:tab w:val="center" w:pos="4153"/>
        <w:tab w:val="right" w:pos="8306"/>
      </w:tabs>
      <w:snapToGrid w:val="0"/>
      <w:jc w:val="center"/>
    </w:pPr>
    <w:rPr>
      <w:sz w:val="18"/>
      <w:szCs w:val="18"/>
    </w:rPr>
  </w:style>
  <w:style w:type="character" w:customStyle="1" w:styleId="a5">
    <w:name w:val="页眉 字符"/>
    <w:basedOn w:val="a0"/>
    <w:link w:val="a4"/>
    <w:uiPriority w:val="99"/>
    <w:rsid w:val="00762353"/>
    <w:rPr>
      <w:rFonts w:ascii="Calibri" w:hAnsi="Calibri"/>
      <w:kern w:val="2"/>
      <w:sz w:val="18"/>
      <w:szCs w:val="18"/>
    </w:rPr>
  </w:style>
  <w:style w:type="paragraph" w:styleId="a6">
    <w:name w:val="footer"/>
    <w:basedOn w:val="a"/>
    <w:link w:val="a7"/>
    <w:uiPriority w:val="99"/>
    <w:unhideWhenUsed/>
    <w:rsid w:val="00762353"/>
    <w:pPr>
      <w:tabs>
        <w:tab w:val="center" w:pos="4153"/>
        <w:tab w:val="right" w:pos="8306"/>
      </w:tabs>
      <w:snapToGrid w:val="0"/>
      <w:jc w:val="left"/>
    </w:pPr>
    <w:rPr>
      <w:sz w:val="18"/>
      <w:szCs w:val="18"/>
    </w:rPr>
  </w:style>
  <w:style w:type="character" w:customStyle="1" w:styleId="a7">
    <w:name w:val="页脚 字符"/>
    <w:basedOn w:val="a0"/>
    <w:link w:val="a6"/>
    <w:uiPriority w:val="99"/>
    <w:rsid w:val="00762353"/>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10737</TotalTime>
  <Pages>2</Pages>
  <Words>585</Words>
  <Characters>3341</Characters>
  <Application>Microsoft Office Word</Application>
  <DocSecurity>0</DocSecurity>
  <Lines>27</Lines>
  <Paragraphs>7</Paragraphs>
  <ScaleCrop>false</ScaleCrop>
  <Company/>
  <LinksUpToDate>false</LinksUpToDate>
  <CharactersWithSpaces>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1619</cp:revision>
  <dcterms:created xsi:type="dcterms:W3CDTF">2022-07-04T07:48:00Z</dcterms:created>
  <dcterms:modified xsi:type="dcterms:W3CDTF">2023-09-25T04:13:00Z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