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97CD7" w:rsidRDefault="00000000">
      <w:pPr>
        <w:rPr>
          <w:rFonts w:ascii="宋体" w:hAnsi="宋体" w:cs="宋体"/>
          <w:sz w:val="24"/>
          <w:szCs w:val="24"/>
        </w:rPr>
      </w:pPr>
      <w:r>
        <w:rPr>
          <w:rFonts w:ascii="宋体" w:hAnsi="宋体" w:cs="宋体"/>
          <w:sz w:val="24"/>
          <w:szCs w:val="24"/>
        </w:rPr>
        <w:t>点阵CO</w:t>
      </w:r>
      <w:r w:rsidRPr="00220BCF">
        <w:rPr>
          <w:rFonts w:ascii="宋体" w:hAnsi="宋体" w:cs="宋体"/>
          <w:sz w:val="24"/>
          <w:szCs w:val="24"/>
          <w:vertAlign w:val="subscript"/>
        </w:rPr>
        <w:t>2</w:t>
      </w:r>
      <w:r>
        <w:rPr>
          <w:rFonts w:ascii="宋体" w:hAnsi="宋体" w:cs="宋体"/>
          <w:sz w:val="24"/>
          <w:szCs w:val="24"/>
        </w:rPr>
        <w:t>激光联合</w:t>
      </w:r>
      <w:proofErr w:type="gramStart"/>
      <w:r>
        <w:rPr>
          <w:rFonts w:ascii="宋体" w:hAnsi="宋体" w:cs="宋体"/>
          <w:sz w:val="24"/>
          <w:szCs w:val="24"/>
        </w:rPr>
        <w:t>吡美莫司</w:t>
      </w:r>
      <w:proofErr w:type="gramEnd"/>
      <w:r>
        <w:rPr>
          <w:rFonts w:ascii="宋体" w:hAnsi="宋体" w:cs="宋体"/>
          <w:sz w:val="24"/>
          <w:szCs w:val="24"/>
        </w:rPr>
        <w:t xml:space="preserve">乳膏外用治疗白癜风临床效果观察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 xml:space="preserve">崔琳静，邵明阳，李玲芳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 xml:space="preserve">（淮北市人民医院皮肤科 安徽 淮北 235000）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[摘要]目的：研究点阵CO</w:t>
      </w:r>
      <w:r w:rsidRPr="00220BCF">
        <w:rPr>
          <w:rFonts w:ascii="宋体" w:hAnsi="宋体" w:cs="宋体"/>
          <w:sz w:val="24"/>
          <w:szCs w:val="24"/>
          <w:vertAlign w:val="subscript"/>
        </w:rPr>
        <w:t>2</w:t>
      </w:r>
      <w:r>
        <w:rPr>
          <w:rFonts w:ascii="宋体" w:hAnsi="宋体" w:cs="宋体"/>
          <w:sz w:val="24"/>
          <w:szCs w:val="24"/>
        </w:rPr>
        <w:t>激光联合</w:t>
      </w:r>
      <w:proofErr w:type="gramStart"/>
      <w:r>
        <w:rPr>
          <w:rFonts w:ascii="宋体" w:hAnsi="宋体" w:cs="宋体"/>
          <w:sz w:val="24"/>
          <w:szCs w:val="24"/>
        </w:rPr>
        <w:t>吡美莫司</w:t>
      </w:r>
      <w:proofErr w:type="gramEnd"/>
      <w:r>
        <w:rPr>
          <w:rFonts w:ascii="宋体" w:hAnsi="宋体" w:cs="宋体"/>
          <w:sz w:val="24"/>
          <w:szCs w:val="24"/>
        </w:rPr>
        <w:t>乳膏外用治疗白癜风的临床效果。方法：选取2019年10月-2021年10月笔者医院 门诊收治的90例白癜风患者作为研究对象，随机均分为观察组（点阵CO2激光联合</w:t>
      </w:r>
      <w:proofErr w:type="gramStart"/>
      <w:r>
        <w:rPr>
          <w:rFonts w:ascii="宋体" w:hAnsi="宋体" w:cs="宋体"/>
          <w:sz w:val="24"/>
          <w:szCs w:val="24"/>
        </w:rPr>
        <w:t>吡美莫司</w:t>
      </w:r>
      <w:proofErr w:type="gramEnd"/>
      <w:r>
        <w:rPr>
          <w:rFonts w:ascii="宋体" w:hAnsi="宋体" w:cs="宋体"/>
          <w:sz w:val="24"/>
          <w:szCs w:val="24"/>
        </w:rPr>
        <w:t>乳膏外用治疗）和对照组（</w:t>
      </w:r>
      <w:proofErr w:type="gramStart"/>
      <w:r>
        <w:rPr>
          <w:rFonts w:ascii="宋体" w:hAnsi="宋体" w:cs="宋体"/>
          <w:sz w:val="24"/>
          <w:szCs w:val="24"/>
        </w:rPr>
        <w:t>吡</w:t>
      </w:r>
      <w:proofErr w:type="gramEnd"/>
      <w:r>
        <w:rPr>
          <w:rFonts w:ascii="宋体" w:hAnsi="宋体" w:cs="宋体"/>
          <w:sz w:val="24"/>
          <w:szCs w:val="24"/>
        </w:rPr>
        <w:t xml:space="preserve">美 </w:t>
      </w:r>
      <w:proofErr w:type="gramStart"/>
      <w:r>
        <w:rPr>
          <w:rFonts w:ascii="宋体" w:hAnsi="宋体" w:cs="宋体"/>
          <w:sz w:val="24"/>
          <w:szCs w:val="24"/>
        </w:rPr>
        <w:t>莫司乳膏</w:t>
      </w:r>
      <w:proofErr w:type="gramEnd"/>
      <w:r>
        <w:rPr>
          <w:rFonts w:ascii="宋体" w:hAnsi="宋体" w:cs="宋体"/>
          <w:sz w:val="24"/>
          <w:szCs w:val="24"/>
        </w:rPr>
        <w:t xml:space="preserve">外用治疗），各45例。比较两组治疗6个月后疗效、病情改善情况[复色时间、白癜风面积评分指数（Vitiligo area scoring index，VASI）]，治疗前及治疗6个月后疾病相关因子（CD4+ 、CD8+ ），及两组用药期间不良反应发生情 </w:t>
      </w:r>
      <w:proofErr w:type="gramStart"/>
      <w:r>
        <w:rPr>
          <w:rFonts w:ascii="宋体" w:hAnsi="宋体" w:cs="宋体"/>
          <w:sz w:val="24"/>
          <w:szCs w:val="24"/>
        </w:rPr>
        <w:t>况</w:t>
      </w:r>
      <w:proofErr w:type="gramEnd"/>
      <w:r>
        <w:rPr>
          <w:rFonts w:ascii="宋体" w:hAnsi="宋体" w:cs="宋体"/>
          <w:sz w:val="24"/>
          <w:szCs w:val="24"/>
        </w:rPr>
        <w:t>。结果：治疗6个月后，观察</w:t>
      </w:r>
      <w:proofErr w:type="gramStart"/>
      <w:r>
        <w:rPr>
          <w:rFonts w:ascii="宋体" w:hAnsi="宋体" w:cs="宋体"/>
          <w:sz w:val="24"/>
          <w:szCs w:val="24"/>
        </w:rPr>
        <w:t>组治疗</w:t>
      </w:r>
      <w:proofErr w:type="gramEnd"/>
      <w:r>
        <w:rPr>
          <w:rFonts w:ascii="宋体" w:hAnsi="宋体" w:cs="宋体"/>
          <w:sz w:val="24"/>
          <w:szCs w:val="24"/>
        </w:rPr>
        <w:t>有效率明显高于对照组（P＜0.05）；观察组复色时间、VASI水平均明显低于对照 组（P＜0.05）；治疗6个月后，观察组CD4+ 水平均明显高于治疗前及同期对照组，CD8+ 水平均明显低于治疗前及同期对照 组（P＜0.05）；两组不良反应发生率差异无统计学意义（P＞0.05）。结论：点阵CO</w:t>
      </w:r>
      <w:r w:rsidRPr="00220BCF">
        <w:rPr>
          <w:rFonts w:ascii="宋体" w:hAnsi="宋体" w:cs="宋体"/>
          <w:sz w:val="24"/>
          <w:szCs w:val="24"/>
          <w:vertAlign w:val="subscript"/>
        </w:rPr>
        <w:t>2</w:t>
      </w:r>
      <w:r>
        <w:rPr>
          <w:rFonts w:ascii="宋体" w:hAnsi="宋体" w:cs="宋体"/>
          <w:sz w:val="24"/>
          <w:szCs w:val="24"/>
        </w:rPr>
        <w:t>激光联合</w:t>
      </w:r>
      <w:proofErr w:type="gramStart"/>
      <w:r>
        <w:rPr>
          <w:rFonts w:ascii="宋体" w:hAnsi="宋体" w:cs="宋体"/>
          <w:sz w:val="24"/>
          <w:szCs w:val="24"/>
        </w:rPr>
        <w:t>吡美莫司</w:t>
      </w:r>
      <w:proofErr w:type="gramEnd"/>
      <w:r>
        <w:rPr>
          <w:rFonts w:ascii="宋体" w:hAnsi="宋体" w:cs="宋体"/>
          <w:sz w:val="24"/>
          <w:szCs w:val="24"/>
        </w:rPr>
        <w:t>乳膏外用治疗白</w:t>
      </w:r>
      <w:proofErr w:type="gramStart"/>
      <w:r>
        <w:rPr>
          <w:rFonts w:ascii="宋体" w:hAnsi="宋体" w:cs="宋体"/>
          <w:sz w:val="24"/>
          <w:szCs w:val="24"/>
        </w:rPr>
        <w:t>癜</w:t>
      </w:r>
      <w:proofErr w:type="gramEnd"/>
      <w:r>
        <w:rPr>
          <w:rFonts w:ascii="宋体" w:hAnsi="宋体" w:cs="宋体"/>
          <w:sz w:val="24"/>
          <w:szCs w:val="24"/>
        </w:rPr>
        <w:t xml:space="preserve"> 风疗效显著，能够促进白癜风皮损恢复，改善机体免疫功能。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[关键词]点阵CO</w:t>
      </w:r>
      <w:r w:rsidRPr="00220BCF">
        <w:rPr>
          <w:rFonts w:ascii="宋体" w:hAnsi="宋体" w:cs="宋体"/>
          <w:sz w:val="24"/>
          <w:szCs w:val="24"/>
          <w:vertAlign w:val="subscript"/>
        </w:rPr>
        <w:t>2</w:t>
      </w:r>
      <w:r>
        <w:rPr>
          <w:rFonts w:ascii="宋体" w:hAnsi="宋体" w:cs="宋体"/>
          <w:sz w:val="24"/>
          <w:szCs w:val="24"/>
        </w:rPr>
        <w:t>激光；</w:t>
      </w:r>
      <w:proofErr w:type="gramStart"/>
      <w:r>
        <w:rPr>
          <w:rFonts w:ascii="宋体" w:hAnsi="宋体" w:cs="宋体"/>
          <w:sz w:val="24"/>
          <w:szCs w:val="24"/>
        </w:rPr>
        <w:t>吡美莫司</w:t>
      </w:r>
      <w:proofErr w:type="gramEnd"/>
      <w:r>
        <w:rPr>
          <w:rFonts w:ascii="宋体" w:hAnsi="宋体" w:cs="宋体"/>
          <w:sz w:val="24"/>
          <w:szCs w:val="24"/>
        </w:rPr>
        <w:t xml:space="preserve">；白癜风；疗效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 xml:space="preserve">[中图分类号]R758.4+ 1 [文献标志码]A [文章编号]1008-6455（2023）09-0082-03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Observation on Clinical Effects of Fractional CO</w:t>
      </w:r>
      <w:r w:rsidRPr="00220BCF">
        <w:rPr>
          <w:rFonts w:ascii="宋体" w:hAnsi="宋体" w:cs="宋体"/>
          <w:sz w:val="24"/>
          <w:szCs w:val="24"/>
          <w:vertAlign w:val="subscript"/>
        </w:rPr>
        <w:t>2</w:t>
      </w:r>
      <w:r>
        <w:rPr>
          <w:rFonts w:ascii="宋体" w:hAnsi="宋体" w:cs="宋体"/>
          <w:sz w:val="24"/>
          <w:szCs w:val="24"/>
        </w:rPr>
        <w:t xml:space="preserve"> Laser Combined with External Application of </w:t>
      </w:r>
      <w:proofErr w:type="spellStart"/>
      <w:r>
        <w:rPr>
          <w:rFonts w:ascii="宋体" w:hAnsi="宋体" w:cs="宋体"/>
          <w:sz w:val="24"/>
          <w:szCs w:val="24"/>
        </w:rPr>
        <w:t>Pimecrolimus</w:t>
      </w:r>
      <w:proofErr w:type="spellEnd"/>
      <w:r>
        <w:rPr>
          <w:rFonts w:ascii="宋体" w:hAnsi="宋体" w:cs="宋体"/>
          <w:sz w:val="24"/>
          <w:szCs w:val="24"/>
        </w:rPr>
        <w:t xml:space="preserve"> Ointment in the Treatment of Vitiligo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 xml:space="preserve">CUI </w:t>
      </w:r>
      <w:proofErr w:type="spellStart"/>
      <w:proofErr w:type="gramStart"/>
      <w:r>
        <w:rPr>
          <w:rFonts w:ascii="宋体" w:hAnsi="宋体" w:cs="宋体"/>
          <w:sz w:val="24"/>
          <w:szCs w:val="24"/>
        </w:rPr>
        <w:t>Linjing,SHAO</w:t>
      </w:r>
      <w:proofErr w:type="spellEnd"/>
      <w:proofErr w:type="gramEnd"/>
      <w:r>
        <w:rPr>
          <w:rFonts w:ascii="宋体" w:hAnsi="宋体" w:cs="宋体"/>
          <w:sz w:val="24"/>
          <w:szCs w:val="24"/>
        </w:rPr>
        <w:t xml:space="preserve"> </w:t>
      </w:r>
      <w:proofErr w:type="spellStart"/>
      <w:r>
        <w:rPr>
          <w:rFonts w:ascii="宋体" w:hAnsi="宋体" w:cs="宋体"/>
          <w:sz w:val="24"/>
          <w:szCs w:val="24"/>
        </w:rPr>
        <w:t>Mingyang,LI</w:t>
      </w:r>
      <w:proofErr w:type="spellEnd"/>
      <w:r>
        <w:rPr>
          <w:rFonts w:ascii="宋体" w:hAnsi="宋体" w:cs="宋体"/>
          <w:sz w:val="24"/>
          <w:szCs w:val="24"/>
        </w:rPr>
        <w:t xml:space="preserve"> </w:t>
      </w:r>
      <w:proofErr w:type="spellStart"/>
      <w:r>
        <w:rPr>
          <w:rFonts w:ascii="宋体" w:hAnsi="宋体" w:cs="宋体"/>
          <w:sz w:val="24"/>
          <w:szCs w:val="24"/>
        </w:rPr>
        <w:t>Lingfang</w:t>
      </w:r>
      <w:proofErr w:type="spellEnd"/>
      <w:r>
        <w:rPr>
          <w:rFonts w:ascii="宋体" w:hAnsi="宋体" w:cs="宋体"/>
          <w:sz w:val="24"/>
          <w:szCs w:val="24"/>
        </w:rPr>
        <w:t xml:space="preserve">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 xml:space="preserve">(Department of </w:t>
      </w:r>
      <w:proofErr w:type="spellStart"/>
      <w:proofErr w:type="gramStart"/>
      <w:r>
        <w:rPr>
          <w:rFonts w:ascii="宋体" w:hAnsi="宋体" w:cs="宋体"/>
          <w:sz w:val="24"/>
          <w:szCs w:val="24"/>
        </w:rPr>
        <w:t>Dermatology,Huaibei</w:t>
      </w:r>
      <w:proofErr w:type="spellEnd"/>
      <w:proofErr w:type="gramEnd"/>
      <w:r>
        <w:rPr>
          <w:rFonts w:ascii="宋体" w:hAnsi="宋体" w:cs="宋体"/>
          <w:sz w:val="24"/>
          <w:szCs w:val="24"/>
        </w:rPr>
        <w:t xml:space="preserve"> People's </w:t>
      </w:r>
      <w:proofErr w:type="spellStart"/>
      <w:r>
        <w:rPr>
          <w:rFonts w:ascii="宋体" w:hAnsi="宋体" w:cs="宋体"/>
          <w:sz w:val="24"/>
          <w:szCs w:val="24"/>
        </w:rPr>
        <w:t>Hospital,Huaibei</w:t>
      </w:r>
      <w:proofErr w:type="spellEnd"/>
      <w:r>
        <w:rPr>
          <w:rFonts w:ascii="宋体" w:hAnsi="宋体" w:cs="宋体"/>
          <w:sz w:val="24"/>
          <w:szCs w:val="24"/>
        </w:rPr>
        <w:t xml:space="preserve"> 235000,Anhui,China) </w:t>
      </w:r>
    </w:p>
    <w:p w:rsidR="00197CD7" w:rsidRDefault="00197CD7">
      <w:pPr>
        <w:rPr>
          <w:rFonts w:ascii="宋体" w:hAnsi="宋体" w:cs="宋体"/>
          <w:sz w:val="24"/>
          <w:szCs w:val="24"/>
        </w:rPr>
      </w:pPr>
    </w:p>
    <w:p w:rsidR="00197CD7" w:rsidRDefault="00000000">
      <w:pPr>
        <w:rPr>
          <w:rFonts w:ascii="宋体" w:hAnsi="宋体" w:cs="宋体"/>
          <w:sz w:val="24"/>
          <w:szCs w:val="24"/>
        </w:rPr>
      </w:pPr>
      <w:r>
        <w:rPr>
          <w:rFonts w:ascii="宋体" w:hAnsi="宋体" w:cs="宋体"/>
          <w:sz w:val="24"/>
          <w:szCs w:val="24"/>
        </w:rPr>
        <w:t xml:space="preserve">Abstract: Objective To study the clinical eff </w:t>
      </w:r>
      <w:proofErr w:type="spellStart"/>
      <w:r>
        <w:rPr>
          <w:rFonts w:ascii="宋体" w:hAnsi="宋体" w:cs="宋体"/>
          <w:sz w:val="24"/>
          <w:szCs w:val="24"/>
        </w:rPr>
        <w:t>ects</w:t>
      </w:r>
      <w:proofErr w:type="spellEnd"/>
      <w:r>
        <w:rPr>
          <w:rFonts w:ascii="宋体" w:hAnsi="宋体" w:cs="宋体"/>
          <w:sz w:val="24"/>
          <w:szCs w:val="24"/>
        </w:rPr>
        <w:t xml:space="preserve"> of fractional CO</w:t>
      </w:r>
      <w:r w:rsidRPr="00220BCF">
        <w:rPr>
          <w:rFonts w:ascii="宋体" w:hAnsi="宋体" w:cs="宋体"/>
          <w:sz w:val="24"/>
          <w:szCs w:val="24"/>
          <w:vertAlign w:val="subscript"/>
        </w:rPr>
        <w:t>2</w:t>
      </w:r>
      <w:r>
        <w:rPr>
          <w:rFonts w:ascii="宋体" w:hAnsi="宋体" w:cs="宋体"/>
          <w:sz w:val="24"/>
          <w:szCs w:val="24"/>
        </w:rPr>
        <w:t xml:space="preserve"> laser combined with external application of </w:t>
      </w:r>
      <w:proofErr w:type="spellStart"/>
      <w:r>
        <w:rPr>
          <w:rFonts w:ascii="宋体" w:hAnsi="宋体" w:cs="宋体"/>
          <w:sz w:val="24"/>
          <w:szCs w:val="24"/>
        </w:rPr>
        <w:t>pimecrolimus</w:t>
      </w:r>
      <w:proofErr w:type="spellEnd"/>
      <w:r>
        <w:rPr>
          <w:rFonts w:ascii="宋体" w:hAnsi="宋体" w:cs="宋体"/>
          <w:sz w:val="24"/>
          <w:szCs w:val="24"/>
        </w:rPr>
        <w:t xml:space="preserve"> ointment in the treatment of vitiligo. Methods 90 patients with vitiligo who were treated in outpatient department of the hospital between October 2019 and October 2021 were selected as the research subjects, and they were randomly divided into the observation group (fractional CO</w:t>
      </w:r>
      <w:r w:rsidRPr="00220BCF">
        <w:rPr>
          <w:rFonts w:ascii="宋体" w:hAnsi="宋体" w:cs="宋体"/>
          <w:sz w:val="24"/>
          <w:szCs w:val="24"/>
          <w:vertAlign w:val="subscript"/>
        </w:rPr>
        <w:t>2</w:t>
      </w:r>
      <w:r>
        <w:rPr>
          <w:rFonts w:ascii="宋体" w:hAnsi="宋体" w:cs="宋体"/>
          <w:sz w:val="24"/>
          <w:szCs w:val="24"/>
        </w:rPr>
        <w:t xml:space="preserve"> laser combined with external application of </w:t>
      </w:r>
      <w:proofErr w:type="spellStart"/>
      <w:r>
        <w:rPr>
          <w:rFonts w:ascii="宋体" w:hAnsi="宋体" w:cs="宋体"/>
          <w:sz w:val="24"/>
          <w:szCs w:val="24"/>
        </w:rPr>
        <w:t>pimecrolimus</w:t>
      </w:r>
      <w:proofErr w:type="spellEnd"/>
      <w:r>
        <w:rPr>
          <w:rFonts w:ascii="宋体" w:hAnsi="宋体" w:cs="宋体"/>
          <w:sz w:val="24"/>
          <w:szCs w:val="24"/>
        </w:rPr>
        <w:t xml:space="preserve"> ointment) and the control group (external application of </w:t>
      </w:r>
      <w:proofErr w:type="spellStart"/>
      <w:r>
        <w:rPr>
          <w:rFonts w:ascii="宋体" w:hAnsi="宋体" w:cs="宋体"/>
          <w:sz w:val="24"/>
          <w:szCs w:val="24"/>
        </w:rPr>
        <w:t>pimecrolimus</w:t>
      </w:r>
      <w:proofErr w:type="spellEnd"/>
      <w:r>
        <w:rPr>
          <w:rFonts w:ascii="宋体" w:hAnsi="宋体" w:cs="宋体"/>
          <w:sz w:val="24"/>
          <w:szCs w:val="24"/>
        </w:rPr>
        <w:t xml:space="preserve"> ointment), with 45 cases in each group. The </w:t>
      </w:r>
      <w:proofErr w:type="spellStart"/>
      <w:r>
        <w:rPr>
          <w:rFonts w:ascii="宋体" w:hAnsi="宋体" w:cs="宋体"/>
          <w:sz w:val="24"/>
          <w:szCs w:val="24"/>
        </w:rPr>
        <w:t>effi</w:t>
      </w:r>
      <w:proofErr w:type="spellEnd"/>
      <w:r>
        <w:rPr>
          <w:rFonts w:ascii="宋体" w:hAnsi="宋体" w:cs="宋体"/>
          <w:sz w:val="24"/>
          <w:szCs w:val="24"/>
        </w:rPr>
        <w:t xml:space="preserve"> </w:t>
      </w:r>
      <w:proofErr w:type="spellStart"/>
      <w:r>
        <w:rPr>
          <w:rFonts w:ascii="宋体" w:hAnsi="宋体" w:cs="宋体"/>
          <w:sz w:val="24"/>
          <w:szCs w:val="24"/>
        </w:rPr>
        <w:t>cacy</w:t>
      </w:r>
      <w:proofErr w:type="spellEnd"/>
      <w:r>
        <w:rPr>
          <w:rFonts w:ascii="宋体" w:hAnsi="宋体" w:cs="宋体"/>
          <w:sz w:val="24"/>
          <w:szCs w:val="24"/>
        </w:rPr>
        <w:t xml:space="preserve"> and disease improvement [</w:t>
      </w:r>
      <w:proofErr w:type="spellStart"/>
      <w:r>
        <w:rPr>
          <w:rFonts w:ascii="宋体" w:hAnsi="宋体" w:cs="宋体"/>
          <w:sz w:val="24"/>
          <w:szCs w:val="24"/>
        </w:rPr>
        <w:t>repigmentation</w:t>
      </w:r>
      <w:proofErr w:type="spellEnd"/>
      <w:r>
        <w:rPr>
          <w:rFonts w:ascii="宋体" w:hAnsi="宋体" w:cs="宋体"/>
          <w:sz w:val="24"/>
          <w:szCs w:val="24"/>
        </w:rPr>
        <w:t xml:space="preserve"> time, vitiligo area score index (VASI)] after 6 months of treatment, disease-related factors (CD4</w:t>
      </w:r>
      <w:proofErr w:type="gramStart"/>
      <w:r>
        <w:rPr>
          <w:rFonts w:ascii="宋体" w:hAnsi="宋体" w:cs="宋体"/>
          <w:sz w:val="24"/>
          <w:szCs w:val="24"/>
        </w:rPr>
        <w:t>+ ,</w:t>
      </w:r>
      <w:proofErr w:type="gramEnd"/>
      <w:r>
        <w:rPr>
          <w:rFonts w:ascii="宋体" w:hAnsi="宋体" w:cs="宋体"/>
          <w:sz w:val="24"/>
          <w:szCs w:val="24"/>
        </w:rPr>
        <w:t xml:space="preserve"> CD8+ ) before treatment </w:t>
      </w:r>
      <w:r>
        <w:rPr>
          <w:rFonts w:ascii="宋体" w:hAnsi="宋体" w:cs="宋体"/>
          <w:sz w:val="24"/>
          <w:szCs w:val="24"/>
        </w:rPr>
        <w:lastRenderedPageBreak/>
        <w:t xml:space="preserve">and after 6 months of treatment and occurrence of adverse reactions during medication were compared between the two groups. Results After 6 months of treatment, the eff </w:t>
      </w:r>
      <w:proofErr w:type="spellStart"/>
      <w:r>
        <w:rPr>
          <w:rFonts w:ascii="宋体" w:hAnsi="宋体" w:cs="宋体"/>
          <w:sz w:val="24"/>
          <w:szCs w:val="24"/>
        </w:rPr>
        <w:t>ective</w:t>
      </w:r>
      <w:proofErr w:type="spellEnd"/>
      <w:r>
        <w:rPr>
          <w:rFonts w:ascii="宋体" w:hAnsi="宋体" w:cs="宋体"/>
          <w:sz w:val="24"/>
          <w:szCs w:val="24"/>
        </w:rPr>
        <w:t xml:space="preserve"> rate of treatment in the observation group was </w:t>
      </w:r>
      <w:proofErr w:type="spellStart"/>
      <w:r>
        <w:rPr>
          <w:rFonts w:ascii="宋体" w:hAnsi="宋体" w:cs="宋体"/>
          <w:sz w:val="24"/>
          <w:szCs w:val="24"/>
        </w:rPr>
        <w:t>signifi</w:t>
      </w:r>
      <w:proofErr w:type="spellEnd"/>
      <w:r>
        <w:rPr>
          <w:rFonts w:ascii="宋体" w:hAnsi="宋体" w:cs="宋体"/>
          <w:sz w:val="24"/>
          <w:szCs w:val="24"/>
        </w:rPr>
        <w:t xml:space="preserve"> </w:t>
      </w:r>
      <w:proofErr w:type="spellStart"/>
      <w:r>
        <w:rPr>
          <w:rFonts w:ascii="宋体" w:hAnsi="宋体" w:cs="宋体"/>
          <w:sz w:val="24"/>
          <w:szCs w:val="24"/>
        </w:rPr>
        <w:t>cantly</w:t>
      </w:r>
      <w:proofErr w:type="spellEnd"/>
      <w:r>
        <w:rPr>
          <w:rFonts w:ascii="宋体" w:hAnsi="宋体" w:cs="宋体"/>
          <w:sz w:val="24"/>
          <w:szCs w:val="24"/>
        </w:rPr>
        <w:t xml:space="preserve"> higher than that in the control group (P＜0.05). The </w:t>
      </w:r>
      <w:proofErr w:type="spellStart"/>
      <w:r>
        <w:rPr>
          <w:rFonts w:ascii="宋体" w:hAnsi="宋体" w:cs="宋体"/>
          <w:sz w:val="24"/>
          <w:szCs w:val="24"/>
        </w:rPr>
        <w:t>repigmentation</w:t>
      </w:r>
      <w:proofErr w:type="spellEnd"/>
      <w:r>
        <w:rPr>
          <w:rFonts w:ascii="宋体" w:hAnsi="宋体" w:cs="宋体"/>
          <w:sz w:val="24"/>
          <w:szCs w:val="24"/>
        </w:rPr>
        <w:t xml:space="preserve"> time and VASI in the observation group were </w:t>
      </w:r>
      <w:proofErr w:type="spellStart"/>
      <w:r>
        <w:rPr>
          <w:rFonts w:ascii="宋体" w:hAnsi="宋体" w:cs="宋体"/>
          <w:sz w:val="24"/>
          <w:szCs w:val="24"/>
        </w:rPr>
        <w:t>signifi</w:t>
      </w:r>
      <w:proofErr w:type="spellEnd"/>
      <w:r>
        <w:rPr>
          <w:rFonts w:ascii="宋体" w:hAnsi="宋体" w:cs="宋体"/>
          <w:sz w:val="24"/>
          <w:szCs w:val="24"/>
        </w:rPr>
        <w:t xml:space="preserve"> </w:t>
      </w:r>
      <w:proofErr w:type="spellStart"/>
      <w:r>
        <w:rPr>
          <w:rFonts w:ascii="宋体" w:hAnsi="宋体" w:cs="宋体"/>
          <w:sz w:val="24"/>
          <w:szCs w:val="24"/>
        </w:rPr>
        <w:t>cantly</w:t>
      </w:r>
      <w:proofErr w:type="spellEnd"/>
      <w:r>
        <w:rPr>
          <w:rFonts w:ascii="宋体" w:hAnsi="宋体" w:cs="宋体"/>
          <w:sz w:val="24"/>
          <w:szCs w:val="24"/>
        </w:rPr>
        <w:t xml:space="preserve"> shorter or lower than those in the control group (P＜0.05). After 6 months of treatment, the level of CD4+ in the observation group was </w:t>
      </w:r>
      <w:proofErr w:type="spellStart"/>
      <w:r>
        <w:rPr>
          <w:rFonts w:ascii="宋体" w:hAnsi="宋体" w:cs="宋体"/>
          <w:sz w:val="24"/>
          <w:szCs w:val="24"/>
        </w:rPr>
        <w:t>signifi</w:t>
      </w:r>
      <w:proofErr w:type="spellEnd"/>
      <w:r>
        <w:rPr>
          <w:rFonts w:ascii="宋体" w:hAnsi="宋体" w:cs="宋体"/>
          <w:sz w:val="24"/>
          <w:szCs w:val="24"/>
        </w:rPr>
        <w:t xml:space="preserve"> </w:t>
      </w:r>
      <w:proofErr w:type="spellStart"/>
      <w:r>
        <w:rPr>
          <w:rFonts w:ascii="宋体" w:hAnsi="宋体" w:cs="宋体"/>
          <w:sz w:val="24"/>
          <w:szCs w:val="24"/>
        </w:rPr>
        <w:t>cantly</w:t>
      </w:r>
      <w:proofErr w:type="spellEnd"/>
      <w:r>
        <w:rPr>
          <w:rFonts w:ascii="宋体" w:hAnsi="宋体" w:cs="宋体"/>
          <w:sz w:val="24"/>
          <w:szCs w:val="24"/>
        </w:rPr>
        <w:t xml:space="preserve"> higher than that before treatment and in the control group while the level of CD8+ was </w:t>
      </w:r>
      <w:proofErr w:type="spellStart"/>
      <w:r>
        <w:rPr>
          <w:rFonts w:ascii="宋体" w:hAnsi="宋体" w:cs="宋体"/>
          <w:sz w:val="24"/>
          <w:szCs w:val="24"/>
        </w:rPr>
        <w:t>signifi</w:t>
      </w:r>
      <w:proofErr w:type="spellEnd"/>
      <w:r>
        <w:rPr>
          <w:rFonts w:ascii="宋体" w:hAnsi="宋体" w:cs="宋体"/>
          <w:sz w:val="24"/>
          <w:szCs w:val="24"/>
        </w:rPr>
        <w:t xml:space="preserve"> </w:t>
      </w:r>
      <w:proofErr w:type="spellStart"/>
      <w:r>
        <w:rPr>
          <w:rFonts w:ascii="宋体" w:hAnsi="宋体" w:cs="宋体"/>
          <w:sz w:val="24"/>
          <w:szCs w:val="24"/>
        </w:rPr>
        <w:t>cantly</w:t>
      </w:r>
      <w:proofErr w:type="spellEnd"/>
      <w:r>
        <w:rPr>
          <w:rFonts w:ascii="宋体" w:hAnsi="宋体" w:cs="宋体"/>
          <w:sz w:val="24"/>
          <w:szCs w:val="24"/>
        </w:rPr>
        <w:t xml:space="preserve"> lower than that before treatment and in the control group (P＜0.05). There were no </w:t>
      </w:r>
      <w:proofErr w:type="spellStart"/>
      <w:r>
        <w:rPr>
          <w:rFonts w:ascii="宋体" w:hAnsi="宋体" w:cs="宋体"/>
          <w:sz w:val="24"/>
          <w:szCs w:val="24"/>
        </w:rPr>
        <w:t>signifi</w:t>
      </w:r>
      <w:proofErr w:type="spellEnd"/>
      <w:r>
        <w:rPr>
          <w:rFonts w:ascii="宋体" w:hAnsi="宋体" w:cs="宋体"/>
          <w:sz w:val="24"/>
          <w:szCs w:val="24"/>
        </w:rPr>
        <w:t xml:space="preserve"> cant diff </w:t>
      </w:r>
      <w:proofErr w:type="spellStart"/>
      <w:r>
        <w:rPr>
          <w:rFonts w:ascii="宋体" w:hAnsi="宋体" w:cs="宋体"/>
          <w:sz w:val="24"/>
          <w:szCs w:val="24"/>
        </w:rPr>
        <w:t>erences</w:t>
      </w:r>
      <w:proofErr w:type="spellEnd"/>
      <w:r>
        <w:rPr>
          <w:rFonts w:ascii="宋体" w:hAnsi="宋体" w:cs="宋体"/>
          <w:sz w:val="24"/>
          <w:szCs w:val="24"/>
        </w:rPr>
        <w:t xml:space="preserve"> in the incidence rates of adverse reactions between the two groups (P＞0.05). Conclusion Fractional CO</w:t>
      </w:r>
      <w:r w:rsidRPr="00220BCF">
        <w:rPr>
          <w:rFonts w:ascii="宋体" w:hAnsi="宋体" w:cs="宋体"/>
          <w:sz w:val="24"/>
          <w:szCs w:val="24"/>
          <w:vertAlign w:val="subscript"/>
        </w:rPr>
        <w:t>2</w:t>
      </w:r>
      <w:r>
        <w:rPr>
          <w:rFonts w:ascii="宋体" w:hAnsi="宋体" w:cs="宋体"/>
          <w:sz w:val="24"/>
          <w:szCs w:val="24"/>
        </w:rPr>
        <w:t xml:space="preserve"> laser combined with external application of </w:t>
      </w:r>
      <w:proofErr w:type="spellStart"/>
      <w:r>
        <w:rPr>
          <w:rFonts w:ascii="宋体" w:hAnsi="宋体" w:cs="宋体"/>
          <w:sz w:val="24"/>
          <w:szCs w:val="24"/>
        </w:rPr>
        <w:t>pimecrolimus</w:t>
      </w:r>
      <w:proofErr w:type="spellEnd"/>
      <w:r>
        <w:rPr>
          <w:rFonts w:ascii="宋体" w:hAnsi="宋体" w:cs="宋体"/>
          <w:sz w:val="24"/>
          <w:szCs w:val="24"/>
        </w:rPr>
        <w:t xml:space="preserve"> ointment has a </w:t>
      </w:r>
      <w:proofErr w:type="spellStart"/>
      <w:r>
        <w:rPr>
          <w:rFonts w:ascii="宋体" w:hAnsi="宋体" w:cs="宋体"/>
          <w:sz w:val="24"/>
          <w:szCs w:val="24"/>
        </w:rPr>
        <w:t>signifi</w:t>
      </w:r>
      <w:proofErr w:type="spellEnd"/>
      <w:r>
        <w:rPr>
          <w:rFonts w:ascii="宋体" w:hAnsi="宋体" w:cs="宋体"/>
          <w:sz w:val="24"/>
          <w:szCs w:val="24"/>
        </w:rPr>
        <w:t xml:space="preserve"> </w:t>
      </w:r>
      <w:proofErr w:type="gramStart"/>
      <w:r>
        <w:rPr>
          <w:rFonts w:ascii="宋体" w:hAnsi="宋体" w:cs="宋体"/>
          <w:sz w:val="24"/>
          <w:szCs w:val="24"/>
        </w:rPr>
        <w:t>cant</w:t>
      </w:r>
      <w:proofErr w:type="gramEnd"/>
      <w:r>
        <w:rPr>
          <w:rFonts w:ascii="宋体" w:hAnsi="宋体" w:cs="宋体"/>
          <w:sz w:val="24"/>
          <w:szCs w:val="24"/>
        </w:rPr>
        <w:t xml:space="preserve"> </w:t>
      </w:r>
      <w:proofErr w:type="spellStart"/>
      <w:r>
        <w:rPr>
          <w:rFonts w:ascii="宋体" w:hAnsi="宋体" w:cs="宋体"/>
          <w:sz w:val="24"/>
          <w:szCs w:val="24"/>
        </w:rPr>
        <w:t>effi</w:t>
      </w:r>
      <w:proofErr w:type="spellEnd"/>
      <w:r>
        <w:rPr>
          <w:rFonts w:ascii="宋体" w:hAnsi="宋体" w:cs="宋体"/>
          <w:sz w:val="24"/>
          <w:szCs w:val="24"/>
        </w:rPr>
        <w:t xml:space="preserve"> </w:t>
      </w:r>
      <w:proofErr w:type="spellStart"/>
      <w:r>
        <w:rPr>
          <w:rFonts w:ascii="宋体" w:hAnsi="宋体" w:cs="宋体"/>
          <w:sz w:val="24"/>
          <w:szCs w:val="24"/>
        </w:rPr>
        <w:t>cacy</w:t>
      </w:r>
      <w:proofErr w:type="spellEnd"/>
      <w:r>
        <w:rPr>
          <w:rFonts w:ascii="宋体" w:hAnsi="宋体" w:cs="宋体"/>
          <w:sz w:val="24"/>
          <w:szCs w:val="24"/>
        </w:rPr>
        <w:t xml:space="preserve"> in the treatment of vitiligo, and it can promote the recovery of vitiligo and improve the body’s immune function. </w:t>
      </w:r>
    </w:p>
    <w:p w:rsidR="00197CD7" w:rsidRDefault="00197CD7">
      <w:pPr>
        <w:rPr>
          <w:rFonts w:ascii="宋体" w:hAnsi="宋体" w:cs="宋体"/>
          <w:sz w:val="24"/>
          <w:szCs w:val="24"/>
        </w:rPr>
      </w:pPr>
    </w:p>
    <w:p w:rsidR="00197CD7" w:rsidRDefault="00000000">
      <w:r>
        <w:rPr>
          <w:rFonts w:ascii="宋体" w:hAnsi="宋体" w:cs="宋体"/>
          <w:sz w:val="24"/>
          <w:szCs w:val="24"/>
        </w:rPr>
        <w:t>Key words: fractional CO</w:t>
      </w:r>
      <w:r w:rsidRPr="00220BCF">
        <w:rPr>
          <w:rFonts w:ascii="宋体" w:hAnsi="宋体" w:cs="宋体"/>
          <w:sz w:val="24"/>
          <w:szCs w:val="24"/>
          <w:vertAlign w:val="subscript"/>
        </w:rPr>
        <w:t>2</w:t>
      </w:r>
      <w:r>
        <w:rPr>
          <w:rFonts w:ascii="宋体" w:hAnsi="宋体" w:cs="宋体"/>
          <w:sz w:val="24"/>
          <w:szCs w:val="24"/>
        </w:rPr>
        <w:t xml:space="preserve"> laser; </w:t>
      </w:r>
      <w:proofErr w:type="spellStart"/>
      <w:r>
        <w:rPr>
          <w:rFonts w:ascii="宋体" w:hAnsi="宋体" w:cs="宋体"/>
          <w:sz w:val="24"/>
          <w:szCs w:val="24"/>
        </w:rPr>
        <w:t>pimecrolimus</w:t>
      </w:r>
      <w:proofErr w:type="spellEnd"/>
      <w:r>
        <w:rPr>
          <w:rFonts w:ascii="宋体" w:hAnsi="宋体" w:cs="宋体"/>
          <w:sz w:val="24"/>
          <w:szCs w:val="24"/>
        </w:rPr>
        <w:t xml:space="preserve">; vitiligo; </w:t>
      </w:r>
      <w:proofErr w:type="spellStart"/>
      <w:r>
        <w:rPr>
          <w:rFonts w:ascii="宋体" w:hAnsi="宋体" w:cs="宋体"/>
          <w:sz w:val="24"/>
          <w:szCs w:val="24"/>
        </w:rPr>
        <w:t>effi</w:t>
      </w:r>
      <w:proofErr w:type="spellEnd"/>
      <w:r>
        <w:rPr>
          <w:rFonts w:ascii="宋体" w:hAnsi="宋体" w:cs="宋体"/>
          <w:sz w:val="24"/>
          <w:szCs w:val="24"/>
        </w:rPr>
        <w:t xml:space="preserve"> </w:t>
      </w:r>
      <w:proofErr w:type="spellStart"/>
      <w:r>
        <w:rPr>
          <w:rFonts w:ascii="宋体" w:hAnsi="宋体" w:cs="宋体"/>
          <w:sz w:val="24"/>
          <w:szCs w:val="24"/>
        </w:rPr>
        <w:t>cacy</w:t>
      </w:r>
      <w:proofErr w:type="spellEnd"/>
    </w:p>
    <w:sectPr w:rsidR="00197C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2F71"/>
    <w:rsid w:val="008D5BA0"/>
    <w:rsid w:val="008E0187"/>
    <w:rsid w:val="008E739C"/>
    <w:rsid w:val="008E7A26"/>
    <w:rsid w:val="008F2E45"/>
    <w:rsid w:val="008F667A"/>
    <w:rsid w:val="00902921"/>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10902</TotalTime>
  <Pages>2</Pages>
  <Words>410</Words>
  <Characters>2343</Characters>
  <Application>Microsoft Office Word</Application>
  <DocSecurity>0</DocSecurity>
  <Lines>19</Lines>
  <Paragraphs>5</Paragraphs>
  <ScaleCrop>false</ScaleCrop>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1628</cp:revision>
  <dcterms:created xsi:type="dcterms:W3CDTF">2022-07-04T07:48:00Z</dcterms:created>
  <dcterms:modified xsi:type="dcterms:W3CDTF">2023-09-26T02:27:00Z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