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D717A2" w14:textId="77777777" w:rsidR="008E61BC" w:rsidRDefault="008E61BC" w:rsidP="008E61BC">
      <w:r>
        <w:t>上颌前磨牙根管治疗后聚合全瓷冠与聚合瓷高嵌体覆盖牙尖修复疗效比较</w:t>
      </w:r>
      <w:r>
        <w:t xml:space="preserve"> </w:t>
      </w:r>
    </w:p>
    <w:p w14:paraId="69E9CADA" w14:textId="77777777" w:rsidR="008E61BC" w:rsidRDefault="008E61BC" w:rsidP="008E61BC"/>
    <w:p w14:paraId="744767E5" w14:textId="77777777" w:rsidR="008E61BC" w:rsidRDefault="008E61BC" w:rsidP="008E61BC">
      <w:r>
        <w:t>李</w:t>
      </w:r>
      <w:r>
        <w:t xml:space="preserve"> </w:t>
      </w:r>
      <w:r>
        <w:t>琳，王安琪，刘</w:t>
      </w:r>
      <w:r>
        <w:t xml:space="preserve"> </w:t>
      </w:r>
      <w:proofErr w:type="gramStart"/>
      <w:r>
        <w:t>璐</w:t>
      </w:r>
      <w:proofErr w:type="gramEnd"/>
      <w:r>
        <w:t xml:space="preserve"> </w:t>
      </w:r>
    </w:p>
    <w:p w14:paraId="5B4DF8F4" w14:textId="77777777" w:rsidR="008E61BC" w:rsidRDefault="008E61BC" w:rsidP="008E61BC"/>
    <w:p w14:paraId="32E99668" w14:textId="7269AE3B" w:rsidR="008E61BC" w:rsidRDefault="008E61BC" w:rsidP="008E61BC">
      <w:r>
        <w:t>（南京同仁医院口腔科</w:t>
      </w:r>
      <w:r>
        <w:t xml:space="preserve"> </w:t>
      </w:r>
      <w:r>
        <w:t>江苏</w:t>
      </w:r>
      <w:r>
        <w:t xml:space="preserve"> </w:t>
      </w:r>
      <w:r>
        <w:t>南京</w:t>
      </w:r>
      <w:r>
        <w:t xml:space="preserve"> 210000</w:t>
      </w:r>
      <w:r>
        <w:t>）</w:t>
      </w:r>
      <w:r>
        <w:t xml:space="preserve"> </w:t>
      </w:r>
    </w:p>
    <w:p w14:paraId="008B674E" w14:textId="77777777" w:rsidR="008E61BC" w:rsidRDefault="008E61BC" w:rsidP="008E61BC"/>
    <w:p w14:paraId="1DE44EE8" w14:textId="77777777" w:rsidR="008E61BC" w:rsidRDefault="008E61BC" w:rsidP="008E61BC">
      <w:r>
        <w:t>[</w:t>
      </w:r>
      <w:r>
        <w:t>摘要</w:t>
      </w:r>
      <w:r>
        <w:t>]</w:t>
      </w:r>
      <w:r>
        <w:t>目的：探究上颌前磨牙根管治疗后聚合全瓷冠修复与聚合瓷高嵌体覆盖牙尖修复的疗效及美观度。方法：回顾性分析</w:t>
      </w:r>
      <w:r>
        <w:t xml:space="preserve"> 2018</w:t>
      </w:r>
      <w:r>
        <w:t>年</w:t>
      </w:r>
      <w:r>
        <w:t>2</w:t>
      </w:r>
      <w:r>
        <w:t>月</w:t>
      </w:r>
      <w:r>
        <w:t>-2021</w:t>
      </w:r>
      <w:r>
        <w:t>年</w:t>
      </w:r>
      <w:r>
        <w:t>2</w:t>
      </w:r>
      <w:r>
        <w:t>月在笔者科室就诊的</w:t>
      </w:r>
      <w:r>
        <w:t>98</w:t>
      </w:r>
      <w:r>
        <w:t>例上颌前磨牙根管治疗患者的临床资料，根据其修复方式进行分组，观察组患者</w:t>
      </w:r>
      <w:r>
        <w:t xml:space="preserve"> </w:t>
      </w:r>
      <w:r>
        <w:t>行聚合瓷高嵌体覆盖牙尖修复（</w:t>
      </w:r>
      <w:r>
        <w:t>n=50</w:t>
      </w:r>
      <w:r>
        <w:t>），对照组患者行聚合全瓷冠修复（</w:t>
      </w:r>
      <w:r>
        <w:t>n=48</w:t>
      </w:r>
      <w:r>
        <w:t>）。比较两组患者修复</w:t>
      </w:r>
      <w:r>
        <w:t>1</w:t>
      </w:r>
      <w:r>
        <w:t>年后疗效、美观度、</w:t>
      </w:r>
      <w:r>
        <w:t xml:space="preserve"> </w:t>
      </w:r>
      <w:r>
        <w:t>边缘密合性及牙龈健康情况差异。结果：修复</w:t>
      </w:r>
      <w:r>
        <w:t>1</w:t>
      </w:r>
      <w:r>
        <w:t>年后，观察组患者完成率高于对照组（</w:t>
      </w:r>
      <w:r>
        <w:t>P</w:t>
      </w:r>
      <w:r>
        <w:t>＜</w:t>
      </w:r>
      <w:r>
        <w:t>0.05</w:t>
      </w:r>
      <w:r>
        <w:t>），两组患者成功率、可再次</w:t>
      </w:r>
      <w:r>
        <w:t xml:space="preserve"> </w:t>
      </w:r>
      <w:r>
        <w:t>修复率、不可再次修复率比较，差异均无统计学意义（</w:t>
      </w:r>
      <w:r>
        <w:t>P</w:t>
      </w:r>
      <w:r>
        <w:t>＞</w:t>
      </w:r>
      <w:r>
        <w:t>0.05</w:t>
      </w:r>
      <w:r>
        <w:t>）；修复</w:t>
      </w:r>
      <w:r>
        <w:t>1</w:t>
      </w:r>
      <w:r>
        <w:t>年后，两组患者修复体美观度比较，差异无统计学</w:t>
      </w:r>
      <w:r>
        <w:t xml:space="preserve"> </w:t>
      </w:r>
      <w:r>
        <w:t>意义（</w:t>
      </w:r>
      <w:r>
        <w:t>P</w:t>
      </w:r>
      <w:r>
        <w:t>＞</w:t>
      </w:r>
      <w:r>
        <w:t>0.05</w:t>
      </w:r>
      <w:r>
        <w:t>）；观察组患者边缘密合性、牙龈健康情况差异无统计学意义（均</w:t>
      </w:r>
      <w:r>
        <w:t>P</w:t>
      </w:r>
      <w:r>
        <w:t>＞</w:t>
      </w:r>
      <w:r>
        <w:t>0.05</w:t>
      </w:r>
      <w:r>
        <w:t>）。结论：上颌前磨牙根管治疗后</w:t>
      </w:r>
      <w:r>
        <w:t xml:space="preserve"> </w:t>
      </w:r>
      <w:r>
        <w:t>进行聚合瓷高嵌体覆盖牙尖修复效果优于聚合全瓷冠修复，且前者能在一定程度上有利于维持边缘密合性及牙龈健康情况，</w:t>
      </w:r>
      <w:r>
        <w:t xml:space="preserve"> </w:t>
      </w:r>
      <w:r>
        <w:t>但两者美观度相近。</w:t>
      </w:r>
      <w:r>
        <w:t xml:space="preserve"> </w:t>
      </w:r>
    </w:p>
    <w:p w14:paraId="3E4E2422" w14:textId="77777777" w:rsidR="008E61BC" w:rsidRDefault="008E61BC" w:rsidP="008E61BC"/>
    <w:p w14:paraId="113CE571" w14:textId="77777777" w:rsidR="008E61BC" w:rsidRDefault="008E61BC" w:rsidP="008E61BC">
      <w:r>
        <w:t>[</w:t>
      </w:r>
      <w:r>
        <w:t>关键词</w:t>
      </w:r>
      <w:r>
        <w:t>]</w:t>
      </w:r>
      <w:r>
        <w:t>上颌前磨牙；根管治疗；聚合全瓷冠修复；聚合瓷高嵌体；牙尖修复；美观度</w:t>
      </w:r>
      <w:r>
        <w:t xml:space="preserve"> </w:t>
      </w:r>
    </w:p>
    <w:p w14:paraId="3735CCA9" w14:textId="77777777" w:rsidR="008E61BC" w:rsidRDefault="008E61BC" w:rsidP="008E61BC"/>
    <w:p w14:paraId="64E07278" w14:textId="77777777" w:rsidR="008E61BC" w:rsidRDefault="008E61BC" w:rsidP="008E61BC">
      <w:r>
        <w:t>[</w:t>
      </w:r>
      <w:r>
        <w:t>中图分类号</w:t>
      </w:r>
      <w:r>
        <w:t>]R783.3 [</w:t>
      </w:r>
      <w:r>
        <w:t>文献标志码</w:t>
      </w:r>
      <w:r>
        <w:t>]A [</w:t>
      </w:r>
      <w:r>
        <w:t>文章编号</w:t>
      </w:r>
      <w:r>
        <w:t>]1008-6455</w:t>
      </w:r>
      <w:r>
        <w:t>（</w:t>
      </w:r>
      <w:r>
        <w:t>2023</w:t>
      </w:r>
      <w:r>
        <w:t>）</w:t>
      </w:r>
      <w:r>
        <w:t>09-0136-04</w:t>
      </w:r>
    </w:p>
    <w:p w14:paraId="048DDABC" w14:textId="77777777" w:rsidR="008E61BC" w:rsidRDefault="008E61BC" w:rsidP="008E61BC"/>
    <w:p w14:paraId="19FBD292" w14:textId="77777777" w:rsidR="008E61BC" w:rsidRDefault="008E61BC" w:rsidP="008E61BC">
      <w:r>
        <w:t xml:space="preserve"> Comparison of the Effect of Polymeric All-ceramic Crown and Polymeric Ceramic Inlay-covering Cusp Restoration After Root Canal Treatment of Maxillary Premolars </w:t>
      </w:r>
    </w:p>
    <w:p w14:paraId="19EB42CA" w14:textId="77777777" w:rsidR="008E61BC" w:rsidRDefault="008E61BC" w:rsidP="008E61BC"/>
    <w:p w14:paraId="7D082F41" w14:textId="6CC9EF39" w:rsidR="008E61BC" w:rsidRDefault="008E61BC" w:rsidP="008E61BC">
      <w:r>
        <w:t xml:space="preserve">LI </w:t>
      </w:r>
      <w:proofErr w:type="spellStart"/>
      <w:proofErr w:type="gramStart"/>
      <w:r>
        <w:t>Lin,WANG</w:t>
      </w:r>
      <w:proofErr w:type="spellEnd"/>
      <w:proofErr w:type="gramEnd"/>
      <w:r>
        <w:t xml:space="preserve"> </w:t>
      </w:r>
      <w:proofErr w:type="spellStart"/>
      <w:r>
        <w:t>Anqi,LIU</w:t>
      </w:r>
      <w:proofErr w:type="spellEnd"/>
      <w:r>
        <w:t xml:space="preserve"> Lu (Department of </w:t>
      </w:r>
      <w:proofErr w:type="spellStart"/>
      <w:r>
        <w:t>Stomatology,Nanjing</w:t>
      </w:r>
      <w:proofErr w:type="spellEnd"/>
      <w:r>
        <w:t xml:space="preserve"> Tongren </w:t>
      </w:r>
      <w:proofErr w:type="spellStart"/>
      <w:r>
        <w:t>Hospital,Nanjing</w:t>
      </w:r>
      <w:proofErr w:type="spellEnd"/>
      <w:r>
        <w:t xml:space="preserve"> 210000,Jiangsu,China) </w:t>
      </w:r>
    </w:p>
    <w:p w14:paraId="18C7FD3F" w14:textId="77777777" w:rsidR="008E61BC" w:rsidRDefault="008E61BC" w:rsidP="008E61BC"/>
    <w:p w14:paraId="383C17E9" w14:textId="3E09CB45" w:rsidR="008E61BC" w:rsidRDefault="008E61BC" w:rsidP="008E61BC">
      <w:r>
        <w:t xml:space="preserve">Abstract: Objective To explore the </w:t>
      </w:r>
      <w:proofErr w:type="spellStart"/>
      <w:r>
        <w:t>effi</w:t>
      </w:r>
      <w:proofErr w:type="spellEnd"/>
      <w:r>
        <w:t xml:space="preserve"> </w:t>
      </w:r>
      <w:proofErr w:type="spellStart"/>
      <w:r>
        <w:t>cacy</w:t>
      </w:r>
      <w:proofErr w:type="spellEnd"/>
      <w:r>
        <w:t xml:space="preserve"> and aesthetics of polymeric all-ceramic crown restoration and polymeric ceramic inlay-covering cusp restoration after root canal treatment of maxillary premolars. Methods The clinical data of 98 patients undergoing root canal treatment of maxillary premolars who were treated in the department were retrospectively analyzed between February 2018 and February 2021, and the patients were grouped according to the restoration methods. 50 teeth of 50 patients in the observation group received polymeric ceramic inlay-covering cusp restoration (n=50), and 48 teeth of 48 patients in the control group adopted polymeric all-ceramic crown restoration (n=48). The differences in efficacy, aesthetics, marginal adaptation and gingival health after 1 year of restoration were compared between the two groups of patients. Results After 1 year of restoration, the survival rate of patients in the observation group was higher than that in the control group (P</w:t>
      </w:r>
      <w:r>
        <w:t>＜</w:t>
      </w:r>
      <w:r>
        <w:t xml:space="preserve">0.05), but there were no statistical diff </w:t>
      </w:r>
      <w:proofErr w:type="spellStart"/>
      <w:r>
        <w:t>erences</w:t>
      </w:r>
      <w:proofErr w:type="spellEnd"/>
      <w:r>
        <w:t xml:space="preserve"> in the success rate, re-repairable rate and irreparable rate between the two groups (P</w:t>
      </w:r>
      <w:r>
        <w:t>＞</w:t>
      </w:r>
      <w:r>
        <w:t xml:space="preserve">0.05). There was no statistical </w:t>
      </w:r>
      <w:proofErr w:type="spellStart"/>
      <w:r>
        <w:t>signifi</w:t>
      </w:r>
      <w:proofErr w:type="spellEnd"/>
      <w:r>
        <w:t xml:space="preserve"> </w:t>
      </w:r>
      <w:proofErr w:type="spellStart"/>
      <w:r>
        <w:t>cance</w:t>
      </w:r>
      <w:proofErr w:type="spellEnd"/>
      <w:r>
        <w:t xml:space="preserve"> in the restoration aesthetics between the two groups</w:t>
      </w:r>
      <w:r>
        <w:t xml:space="preserve"> </w:t>
      </w:r>
      <w:r>
        <w:t>after 1 year of restoration (P</w:t>
      </w:r>
      <w:r>
        <w:t>＞</w:t>
      </w:r>
      <w:r>
        <w:t>0.05). After 1 year of restoration, the marginal adaptation and gingival health of patients were slightly better in the observation group than those in the control group (all P</w:t>
      </w:r>
      <w:r>
        <w:t>＞</w:t>
      </w:r>
      <w:r>
        <w:t>0.05). Conclusion Polymeric ceramic inlay</w:t>
      </w:r>
      <w:r>
        <w:t xml:space="preserve">covering cusp restoration has better eff </w:t>
      </w:r>
      <w:proofErr w:type="spellStart"/>
      <w:r>
        <w:t>ects</w:t>
      </w:r>
      <w:proofErr w:type="spellEnd"/>
      <w:r>
        <w:t xml:space="preserve"> than polymeric all-ceramic crown restoration after root canal treatment of maxillary premolars, and the former </w:t>
      </w:r>
      <w:r>
        <w:lastRenderedPageBreak/>
        <w:t xml:space="preserve">one can help to maintain the marginal adaptation and gingival health to a certain extent, but both have similar aesthetics. </w:t>
      </w:r>
    </w:p>
    <w:p w14:paraId="3CEEE9EC" w14:textId="77777777" w:rsidR="008E61BC" w:rsidRDefault="008E61BC" w:rsidP="008E61BC"/>
    <w:p w14:paraId="52D45771" w14:textId="746E0CD3" w:rsidR="00DC4571" w:rsidRPr="008E61BC" w:rsidRDefault="008E61BC" w:rsidP="008E61BC">
      <w:r>
        <w:t>Key words: maxillary premolars; root canal treatment; polymeric all-ceramic crown restoration; polymeric ceramic inlay; cusp restoration; aesthetics</w:t>
      </w:r>
    </w:p>
    <w:sectPr w:rsidR="00DC4571" w:rsidRPr="008E61B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E4A85393-7F81-4FF8-B5FE-F9439432834B}"/>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105D6"/>
    <w:rsid w:val="000126A4"/>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5273B"/>
    <w:rsid w:val="00053FB7"/>
    <w:rsid w:val="000552B2"/>
    <w:rsid w:val="00063A05"/>
    <w:rsid w:val="00071D73"/>
    <w:rsid w:val="0007579F"/>
    <w:rsid w:val="00092FC1"/>
    <w:rsid w:val="0009355D"/>
    <w:rsid w:val="00095AB1"/>
    <w:rsid w:val="000963CF"/>
    <w:rsid w:val="000A0067"/>
    <w:rsid w:val="000A13C5"/>
    <w:rsid w:val="000A4400"/>
    <w:rsid w:val="000A7C4F"/>
    <w:rsid w:val="000B1F56"/>
    <w:rsid w:val="000B3CB3"/>
    <w:rsid w:val="000B4D7D"/>
    <w:rsid w:val="000B6B01"/>
    <w:rsid w:val="000C0187"/>
    <w:rsid w:val="000C2277"/>
    <w:rsid w:val="000C2A37"/>
    <w:rsid w:val="000C7C37"/>
    <w:rsid w:val="000D1530"/>
    <w:rsid w:val="000D38A0"/>
    <w:rsid w:val="000D4D39"/>
    <w:rsid w:val="000E46FC"/>
    <w:rsid w:val="000E5F2D"/>
    <w:rsid w:val="000F0490"/>
    <w:rsid w:val="000F500C"/>
    <w:rsid w:val="000F6A46"/>
    <w:rsid w:val="0010184F"/>
    <w:rsid w:val="0011007C"/>
    <w:rsid w:val="00114FA6"/>
    <w:rsid w:val="00120E9C"/>
    <w:rsid w:val="0012241D"/>
    <w:rsid w:val="0013114B"/>
    <w:rsid w:val="001353EA"/>
    <w:rsid w:val="001360E5"/>
    <w:rsid w:val="00137107"/>
    <w:rsid w:val="00137ABE"/>
    <w:rsid w:val="00137CCE"/>
    <w:rsid w:val="001407B9"/>
    <w:rsid w:val="00143E2D"/>
    <w:rsid w:val="00144332"/>
    <w:rsid w:val="001460DE"/>
    <w:rsid w:val="00146F11"/>
    <w:rsid w:val="001516D9"/>
    <w:rsid w:val="00153C4D"/>
    <w:rsid w:val="00161F39"/>
    <w:rsid w:val="00164031"/>
    <w:rsid w:val="00167F26"/>
    <w:rsid w:val="001713E2"/>
    <w:rsid w:val="00173B80"/>
    <w:rsid w:val="00176A55"/>
    <w:rsid w:val="00180761"/>
    <w:rsid w:val="0018087E"/>
    <w:rsid w:val="00182443"/>
    <w:rsid w:val="00185043"/>
    <w:rsid w:val="00185246"/>
    <w:rsid w:val="00186512"/>
    <w:rsid w:val="00192868"/>
    <w:rsid w:val="001933BD"/>
    <w:rsid w:val="00195348"/>
    <w:rsid w:val="001964BB"/>
    <w:rsid w:val="00197CD7"/>
    <w:rsid w:val="001A1F94"/>
    <w:rsid w:val="001A1FB2"/>
    <w:rsid w:val="001D1E26"/>
    <w:rsid w:val="001D3916"/>
    <w:rsid w:val="001D49F3"/>
    <w:rsid w:val="001E1B6F"/>
    <w:rsid w:val="001E1C51"/>
    <w:rsid w:val="001E28AB"/>
    <w:rsid w:val="001E4621"/>
    <w:rsid w:val="001E6B7E"/>
    <w:rsid w:val="001E799E"/>
    <w:rsid w:val="00200042"/>
    <w:rsid w:val="0020132F"/>
    <w:rsid w:val="00203710"/>
    <w:rsid w:val="00212C9E"/>
    <w:rsid w:val="00213BCF"/>
    <w:rsid w:val="00214A76"/>
    <w:rsid w:val="00220BCF"/>
    <w:rsid w:val="00227991"/>
    <w:rsid w:val="002327A2"/>
    <w:rsid w:val="00232F23"/>
    <w:rsid w:val="00244885"/>
    <w:rsid w:val="00251F95"/>
    <w:rsid w:val="00255034"/>
    <w:rsid w:val="00263916"/>
    <w:rsid w:val="002773D8"/>
    <w:rsid w:val="00277E64"/>
    <w:rsid w:val="00282AC2"/>
    <w:rsid w:val="00285C8C"/>
    <w:rsid w:val="00286638"/>
    <w:rsid w:val="00287B90"/>
    <w:rsid w:val="002918D1"/>
    <w:rsid w:val="00296617"/>
    <w:rsid w:val="002A01BB"/>
    <w:rsid w:val="002A0727"/>
    <w:rsid w:val="002A3A2D"/>
    <w:rsid w:val="002A3F06"/>
    <w:rsid w:val="002A426A"/>
    <w:rsid w:val="002A6432"/>
    <w:rsid w:val="002A68AE"/>
    <w:rsid w:val="002A6D93"/>
    <w:rsid w:val="002B3F84"/>
    <w:rsid w:val="002D506F"/>
    <w:rsid w:val="002D64FF"/>
    <w:rsid w:val="002E7DEC"/>
    <w:rsid w:val="002F2E82"/>
    <w:rsid w:val="002F55F4"/>
    <w:rsid w:val="002F65E0"/>
    <w:rsid w:val="00301354"/>
    <w:rsid w:val="003063D8"/>
    <w:rsid w:val="00310D14"/>
    <w:rsid w:val="00310DD2"/>
    <w:rsid w:val="00310FBA"/>
    <w:rsid w:val="003179EC"/>
    <w:rsid w:val="0032578D"/>
    <w:rsid w:val="003329CF"/>
    <w:rsid w:val="00337F6B"/>
    <w:rsid w:val="00340429"/>
    <w:rsid w:val="003423DD"/>
    <w:rsid w:val="00342627"/>
    <w:rsid w:val="00351B5A"/>
    <w:rsid w:val="00357132"/>
    <w:rsid w:val="00357383"/>
    <w:rsid w:val="003576DC"/>
    <w:rsid w:val="003725D9"/>
    <w:rsid w:val="003855F3"/>
    <w:rsid w:val="003906F0"/>
    <w:rsid w:val="00393421"/>
    <w:rsid w:val="00393D84"/>
    <w:rsid w:val="003951D1"/>
    <w:rsid w:val="00396545"/>
    <w:rsid w:val="00397C2F"/>
    <w:rsid w:val="003A1477"/>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40270F"/>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3D06"/>
    <w:rsid w:val="0047491C"/>
    <w:rsid w:val="004779A7"/>
    <w:rsid w:val="00481E1B"/>
    <w:rsid w:val="00490408"/>
    <w:rsid w:val="004915A9"/>
    <w:rsid w:val="00495EDF"/>
    <w:rsid w:val="004A469A"/>
    <w:rsid w:val="004A5C83"/>
    <w:rsid w:val="004B03B8"/>
    <w:rsid w:val="004B1AA2"/>
    <w:rsid w:val="004B5E3D"/>
    <w:rsid w:val="004B6006"/>
    <w:rsid w:val="004C3CA7"/>
    <w:rsid w:val="004C6DA4"/>
    <w:rsid w:val="004D49F2"/>
    <w:rsid w:val="004D7463"/>
    <w:rsid w:val="004D7881"/>
    <w:rsid w:val="004D7BA8"/>
    <w:rsid w:val="004E6D8C"/>
    <w:rsid w:val="004E73D3"/>
    <w:rsid w:val="004F5533"/>
    <w:rsid w:val="004F7AA4"/>
    <w:rsid w:val="005047F6"/>
    <w:rsid w:val="0050651D"/>
    <w:rsid w:val="005107D7"/>
    <w:rsid w:val="00510F68"/>
    <w:rsid w:val="0051694C"/>
    <w:rsid w:val="00525F2A"/>
    <w:rsid w:val="00532FBD"/>
    <w:rsid w:val="005361F7"/>
    <w:rsid w:val="00537BDA"/>
    <w:rsid w:val="00546586"/>
    <w:rsid w:val="00560801"/>
    <w:rsid w:val="0056306C"/>
    <w:rsid w:val="005655F2"/>
    <w:rsid w:val="005659C6"/>
    <w:rsid w:val="0057638E"/>
    <w:rsid w:val="00584D48"/>
    <w:rsid w:val="00591EB0"/>
    <w:rsid w:val="005955FA"/>
    <w:rsid w:val="005C7FF4"/>
    <w:rsid w:val="005D358D"/>
    <w:rsid w:val="005D37D9"/>
    <w:rsid w:val="005D4F52"/>
    <w:rsid w:val="005D6AF1"/>
    <w:rsid w:val="005D7C20"/>
    <w:rsid w:val="005E5D12"/>
    <w:rsid w:val="005E5F0F"/>
    <w:rsid w:val="005E7193"/>
    <w:rsid w:val="005F35DD"/>
    <w:rsid w:val="005F4D98"/>
    <w:rsid w:val="005F600D"/>
    <w:rsid w:val="00603F55"/>
    <w:rsid w:val="00610DFB"/>
    <w:rsid w:val="00612597"/>
    <w:rsid w:val="00613424"/>
    <w:rsid w:val="006170CE"/>
    <w:rsid w:val="00621782"/>
    <w:rsid w:val="00621957"/>
    <w:rsid w:val="00623595"/>
    <w:rsid w:val="00624B31"/>
    <w:rsid w:val="00626E93"/>
    <w:rsid w:val="0063253C"/>
    <w:rsid w:val="00633E34"/>
    <w:rsid w:val="00633F3B"/>
    <w:rsid w:val="00634AC2"/>
    <w:rsid w:val="00635A4A"/>
    <w:rsid w:val="0063707C"/>
    <w:rsid w:val="00640151"/>
    <w:rsid w:val="00642902"/>
    <w:rsid w:val="006432D8"/>
    <w:rsid w:val="0065258B"/>
    <w:rsid w:val="006560C2"/>
    <w:rsid w:val="00656889"/>
    <w:rsid w:val="006602C5"/>
    <w:rsid w:val="006617EF"/>
    <w:rsid w:val="006672AF"/>
    <w:rsid w:val="00667D14"/>
    <w:rsid w:val="00670386"/>
    <w:rsid w:val="006706A4"/>
    <w:rsid w:val="006737ED"/>
    <w:rsid w:val="00674B20"/>
    <w:rsid w:val="006753C0"/>
    <w:rsid w:val="00684D3A"/>
    <w:rsid w:val="006A4A02"/>
    <w:rsid w:val="006A521A"/>
    <w:rsid w:val="006B2B32"/>
    <w:rsid w:val="006B3AAC"/>
    <w:rsid w:val="006B4B53"/>
    <w:rsid w:val="006B757C"/>
    <w:rsid w:val="006C314C"/>
    <w:rsid w:val="006C4142"/>
    <w:rsid w:val="006D0D53"/>
    <w:rsid w:val="006D635A"/>
    <w:rsid w:val="006D6D8B"/>
    <w:rsid w:val="006E3987"/>
    <w:rsid w:val="006E68BE"/>
    <w:rsid w:val="006F32E4"/>
    <w:rsid w:val="006F7141"/>
    <w:rsid w:val="0070000F"/>
    <w:rsid w:val="00704033"/>
    <w:rsid w:val="00707417"/>
    <w:rsid w:val="00721B70"/>
    <w:rsid w:val="007255A4"/>
    <w:rsid w:val="00733B85"/>
    <w:rsid w:val="00733E1B"/>
    <w:rsid w:val="00737977"/>
    <w:rsid w:val="00741088"/>
    <w:rsid w:val="00744B33"/>
    <w:rsid w:val="00747BC7"/>
    <w:rsid w:val="007511C1"/>
    <w:rsid w:val="00751362"/>
    <w:rsid w:val="00757EBC"/>
    <w:rsid w:val="007609FD"/>
    <w:rsid w:val="00762353"/>
    <w:rsid w:val="00763A7D"/>
    <w:rsid w:val="007641BF"/>
    <w:rsid w:val="00764E6B"/>
    <w:rsid w:val="00766BDE"/>
    <w:rsid w:val="00771025"/>
    <w:rsid w:val="00771AB2"/>
    <w:rsid w:val="00772E7E"/>
    <w:rsid w:val="00773CFC"/>
    <w:rsid w:val="0078267B"/>
    <w:rsid w:val="00796E83"/>
    <w:rsid w:val="007A3FAF"/>
    <w:rsid w:val="007B0D87"/>
    <w:rsid w:val="007C0EFB"/>
    <w:rsid w:val="007C55D7"/>
    <w:rsid w:val="007C7C28"/>
    <w:rsid w:val="007D4CAE"/>
    <w:rsid w:val="007D4F47"/>
    <w:rsid w:val="007D702E"/>
    <w:rsid w:val="007E1E1A"/>
    <w:rsid w:val="007E4813"/>
    <w:rsid w:val="007E589B"/>
    <w:rsid w:val="007F018C"/>
    <w:rsid w:val="007F47E9"/>
    <w:rsid w:val="007F4FF6"/>
    <w:rsid w:val="0080285A"/>
    <w:rsid w:val="008061D5"/>
    <w:rsid w:val="00807015"/>
    <w:rsid w:val="00817CC3"/>
    <w:rsid w:val="00823940"/>
    <w:rsid w:val="00824F21"/>
    <w:rsid w:val="00826E5C"/>
    <w:rsid w:val="00830FBE"/>
    <w:rsid w:val="00835F67"/>
    <w:rsid w:val="00851D83"/>
    <w:rsid w:val="008606A5"/>
    <w:rsid w:val="008622EF"/>
    <w:rsid w:val="00873BFE"/>
    <w:rsid w:val="00882EF6"/>
    <w:rsid w:val="008844D5"/>
    <w:rsid w:val="008853BA"/>
    <w:rsid w:val="008906C5"/>
    <w:rsid w:val="00891457"/>
    <w:rsid w:val="008A02F2"/>
    <w:rsid w:val="008A77CA"/>
    <w:rsid w:val="008B0D7C"/>
    <w:rsid w:val="008B25EE"/>
    <w:rsid w:val="008C4A42"/>
    <w:rsid w:val="008C5753"/>
    <w:rsid w:val="008C6EF7"/>
    <w:rsid w:val="008C7494"/>
    <w:rsid w:val="008D06AF"/>
    <w:rsid w:val="008D1846"/>
    <w:rsid w:val="008D2ADA"/>
    <w:rsid w:val="008D2F71"/>
    <w:rsid w:val="008D5BA0"/>
    <w:rsid w:val="008E0187"/>
    <w:rsid w:val="008E61BC"/>
    <w:rsid w:val="008E739C"/>
    <w:rsid w:val="008E7A26"/>
    <w:rsid w:val="008F2E45"/>
    <w:rsid w:val="008F667A"/>
    <w:rsid w:val="00902921"/>
    <w:rsid w:val="0090487E"/>
    <w:rsid w:val="009050DA"/>
    <w:rsid w:val="00905B1F"/>
    <w:rsid w:val="0091183A"/>
    <w:rsid w:val="00913122"/>
    <w:rsid w:val="0091684C"/>
    <w:rsid w:val="00927650"/>
    <w:rsid w:val="00931DB6"/>
    <w:rsid w:val="00934DDE"/>
    <w:rsid w:val="00935CF7"/>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7C6A"/>
    <w:rsid w:val="009917DB"/>
    <w:rsid w:val="00991FEF"/>
    <w:rsid w:val="009A6831"/>
    <w:rsid w:val="009B2830"/>
    <w:rsid w:val="009B47E6"/>
    <w:rsid w:val="009B6ABE"/>
    <w:rsid w:val="009C6F4A"/>
    <w:rsid w:val="009D0192"/>
    <w:rsid w:val="009D16FF"/>
    <w:rsid w:val="009D3D2F"/>
    <w:rsid w:val="009D68F8"/>
    <w:rsid w:val="009E049E"/>
    <w:rsid w:val="009E0A3B"/>
    <w:rsid w:val="009E19C0"/>
    <w:rsid w:val="009E1B54"/>
    <w:rsid w:val="009E4C1C"/>
    <w:rsid w:val="009F02E1"/>
    <w:rsid w:val="009F3314"/>
    <w:rsid w:val="009F6BBD"/>
    <w:rsid w:val="00A04917"/>
    <w:rsid w:val="00A05051"/>
    <w:rsid w:val="00A05C59"/>
    <w:rsid w:val="00A119D5"/>
    <w:rsid w:val="00A200A3"/>
    <w:rsid w:val="00A24D59"/>
    <w:rsid w:val="00A26BB2"/>
    <w:rsid w:val="00A33E6F"/>
    <w:rsid w:val="00A34A9E"/>
    <w:rsid w:val="00A353A0"/>
    <w:rsid w:val="00A36638"/>
    <w:rsid w:val="00A401BC"/>
    <w:rsid w:val="00A4287F"/>
    <w:rsid w:val="00A42C2D"/>
    <w:rsid w:val="00A4544F"/>
    <w:rsid w:val="00A513C4"/>
    <w:rsid w:val="00A5288B"/>
    <w:rsid w:val="00A5473A"/>
    <w:rsid w:val="00A57AD1"/>
    <w:rsid w:val="00A65253"/>
    <w:rsid w:val="00A675B0"/>
    <w:rsid w:val="00A67A7C"/>
    <w:rsid w:val="00A71BDA"/>
    <w:rsid w:val="00A71FCC"/>
    <w:rsid w:val="00A8531D"/>
    <w:rsid w:val="00A86CAC"/>
    <w:rsid w:val="00A87C2B"/>
    <w:rsid w:val="00A91641"/>
    <w:rsid w:val="00A967E3"/>
    <w:rsid w:val="00AA1E7F"/>
    <w:rsid w:val="00AA2214"/>
    <w:rsid w:val="00AA70CC"/>
    <w:rsid w:val="00AA7A1E"/>
    <w:rsid w:val="00AB6E44"/>
    <w:rsid w:val="00AC1CD6"/>
    <w:rsid w:val="00AC2B04"/>
    <w:rsid w:val="00AC432F"/>
    <w:rsid w:val="00AC457F"/>
    <w:rsid w:val="00AC7C12"/>
    <w:rsid w:val="00AD0BC6"/>
    <w:rsid w:val="00AD1297"/>
    <w:rsid w:val="00AD19AC"/>
    <w:rsid w:val="00AD48A0"/>
    <w:rsid w:val="00AD7C2D"/>
    <w:rsid w:val="00AE2938"/>
    <w:rsid w:val="00AE297F"/>
    <w:rsid w:val="00AF48FE"/>
    <w:rsid w:val="00B114A0"/>
    <w:rsid w:val="00B157C6"/>
    <w:rsid w:val="00B20220"/>
    <w:rsid w:val="00B20E9B"/>
    <w:rsid w:val="00B22D7E"/>
    <w:rsid w:val="00B24EE5"/>
    <w:rsid w:val="00B25FB7"/>
    <w:rsid w:val="00B26738"/>
    <w:rsid w:val="00B26DEA"/>
    <w:rsid w:val="00B271C8"/>
    <w:rsid w:val="00B37888"/>
    <w:rsid w:val="00B44B30"/>
    <w:rsid w:val="00B51139"/>
    <w:rsid w:val="00B530E8"/>
    <w:rsid w:val="00B53D93"/>
    <w:rsid w:val="00B54C60"/>
    <w:rsid w:val="00B55305"/>
    <w:rsid w:val="00B5763D"/>
    <w:rsid w:val="00B578E3"/>
    <w:rsid w:val="00B730F4"/>
    <w:rsid w:val="00B75808"/>
    <w:rsid w:val="00B779CB"/>
    <w:rsid w:val="00B82C65"/>
    <w:rsid w:val="00B8339A"/>
    <w:rsid w:val="00B8624E"/>
    <w:rsid w:val="00B933C7"/>
    <w:rsid w:val="00B9586A"/>
    <w:rsid w:val="00B97854"/>
    <w:rsid w:val="00BA24F8"/>
    <w:rsid w:val="00BA2959"/>
    <w:rsid w:val="00BA2F9F"/>
    <w:rsid w:val="00BA30DF"/>
    <w:rsid w:val="00BA4D15"/>
    <w:rsid w:val="00BB30CE"/>
    <w:rsid w:val="00BC08C2"/>
    <w:rsid w:val="00BC2D8C"/>
    <w:rsid w:val="00BD3E38"/>
    <w:rsid w:val="00BD68CB"/>
    <w:rsid w:val="00BE0EBF"/>
    <w:rsid w:val="00BE6792"/>
    <w:rsid w:val="00C01821"/>
    <w:rsid w:val="00C02216"/>
    <w:rsid w:val="00C02C4F"/>
    <w:rsid w:val="00C1569D"/>
    <w:rsid w:val="00C16BAD"/>
    <w:rsid w:val="00C22FA9"/>
    <w:rsid w:val="00C242E0"/>
    <w:rsid w:val="00C24EEB"/>
    <w:rsid w:val="00C251AB"/>
    <w:rsid w:val="00C258DF"/>
    <w:rsid w:val="00C320C2"/>
    <w:rsid w:val="00C323AD"/>
    <w:rsid w:val="00C35CCF"/>
    <w:rsid w:val="00C37C5F"/>
    <w:rsid w:val="00C37F32"/>
    <w:rsid w:val="00C639A2"/>
    <w:rsid w:val="00C66126"/>
    <w:rsid w:val="00C719E9"/>
    <w:rsid w:val="00C73275"/>
    <w:rsid w:val="00C7384A"/>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63D5C"/>
    <w:rsid w:val="00D6471F"/>
    <w:rsid w:val="00D6715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C007E"/>
    <w:rsid w:val="00DC06B0"/>
    <w:rsid w:val="00DC11FF"/>
    <w:rsid w:val="00DC2E8C"/>
    <w:rsid w:val="00DC3750"/>
    <w:rsid w:val="00DC4571"/>
    <w:rsid w:val="00DC50A7"/>
    <w:rsid w:val="00DD033A"/>
    <w:rsid w:val="00DD2B56"/>
    <w:rsid w:val="00DD3209"/>
    <w:rsid w:val="00DD3ABA"/>
    <w:rsid w:val="00DD538C"/>
    <w:rsid w:val="00DE0195"/>
    <w:rsid w:val="00DF1825"/>
    <w:rsid w:val="00DF3111"/>
    <w:rsid w:val="00E00A1C"/>
    <w:rsid w:val="00E04F11"/>
    <w:rsid w:val="00E05EE3"/>
    <w:rsid w:val="00E07BDE"/>
    <w:rsid w:val="00E12AD1"/>
    <w:rsid w:val="00E17ED0"/>
    <w:rsid w:val="00E21237"/>
    <w:rsid w:val="00E21D7D"/>
    <w:rsid w:val="00E25029"/>
    <w:rsid w:val="00E2737B"/>
    <w:rsid w:val="00E429CD"/>
    <w:rsid w:val="00E4372C"/>
    <w:rsid w:val="00E439E8"/>
    <w:rsid w:val="00E46DE5"/>
    <w:rsid w:val="00E52257"/>
    <w:rsid w:val="00E64246"/>
    <w:rsid w:val="00E64659"/>
    <w:rsid w:val="00E67009"/>
    <w:rsid w:val="00E74D28"/>
    <w:rsid w:val="00E81217"/>
    <w:rsid w:val="00E837BA"/>
    <w:rsid w:val="00E84A42"/>
    <w:rsid w:val="00E90C18"/>
    <w:rsid w:val="00E91109"/>
    <w:rsid w:val="00E926BF"/>
    <w:rsid w:val="00E94087"/>
    <w:rsid w:val="00E95981"/>
    <w:rsid w:val="00E964DD"/>
    <w:rsid w:val="00E977A7"/>
    <w:rsid w:val="00EA271C"/>
    <w:rsid w:val="00EA6643"/>
    <w:rsid w:val="00EA741B"/>
    <w:rsid w:val="00EA7C27"/>
    <w:rsid w:val="00EB0436"/>
    <w:rsid w:val="00EB063D"/>
    <w:rsid w:val="00EB373B"/>
    <w:rsid w:val="00EC1CF5"/>
    <w:rsid w:val="00EC1D37"/>
    <w:rsid w:val="00EC2B03"/>
    <w:rsid w:val="00EE3874"/>
    <w:rsid w:val="00EE5CB2"/>
    <w:rsid w:val="00F16062"/>
    <w:rsid w:val="00F1612C"/>
    <w:rsid w:val="00F20420"/>
    <w:rsid w:val="00F21F00"/>
    <w:rsid w:val="00F22F9D"/>
    <w:rsid w:val="00F23ADA"/>
    <w:rsid w:val="00F24E34"/>
    <w:rsid w:val="00F27E19"/>
    <w:rsid w:val="00F31281"/>
    <w:rsid w:val="00F33AEE"/>
    <w:rsid w:val="00F421E0"/>
    <w:rsid w:val="00F4251C"/>
    <w:rsid w:val="00F51219"/>
    <w:rsid w:val="00F53310"/>
    <w:rsid w:val="00F56281"/>
    <w:rsid w:val="00F65BF2"/>
    <w:rsid w:val="00F70596"/>
    <w:rsid w:val="00F774EE"/>
    <w:rsid w:val="00F83151"/>
    <w:rsid w:val="00F836F2"/>
    <w:rsid w:val="00F91F6A"/>
    <w:rsid w:val="00F949DF"/>
    <w:rsid w:val="00F96185"/>
    <w:rsid w:val="00F97236"/>
    <w:rsid w:val="00FB0868"/>
    <w:rsid w:val="00FB0E56"/>
    <w:rsid w:val="00FB1271"/>
    <w:rsid w:val="00FB1C96"/>
    <w:rsid w:val="00FB4E1B"/>
    <w:rsid w:val="00FC4B48"/>
    <w:rsid w:val="00FC6BF9"/>
    <w:rsid w:val="00FD2F0C"/>
    <w:rsid w:val="00FF138E"/>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11722</TotalTime>
  <Pages>2</Pages>
  <Words>414</Words>
  <Characters>2363</Characters>
  <Application>Microsoft Office Word</Application>
  <DocSecurity>0</DocSecurity>
  <Lines>19</Lines>
  <Paragraphs>5</Paragraphs>
  <ScaleCrop>false</ScaleCrop>
  <Company/>
  <LinksUpToDate>false</LinksUpToDate>
  <CharactersWithSpaces>2772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1698</cp:revision>
  <dcterms:created xsi:type="dcterms:W3CDTF">2022-07-04T07:48:00Z</dcterms:created>
  <dcterms:modified xsi:type="dcterms:W3CDTF">2023-10-16T03:07:00Z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