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72A69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方正小标宋_GBK" w:eastAsia="方正小标宋_GBK" w:hAnsi="宋体" w:cs="宋体" w:hint="eastAsia"/>
          <w:color w:val="90268F"/>
          <w:kern w:val="0"/>
          <w:sz w:val="30"/>
          <w:szCs w:val="30"/>
        </w:rPr>
        <w:t xml:space="preserve">含透明质酸、聚谷氨酸钠、乙酰壳糖胺护肤复合物的保湿性能及屏障修复 </w:t>
      </w:r>
    </w:p>
    <w:p w14:paraId="2232B778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方正小标宋_GBK" w:eastAsia="方正小标宋_GBK" w:hAnsi="宋体" w:cs="宋体" w:hint="eastAsia"/>
          <w:color w:val="90268F"/>
          <w:kern w:val="0"/>
          <w:sz w:val="30"/>
          <w:szCs w:val="30"/>
        </w:rPr>
        <w:t xml:space="preserve">功能研究 </w:t>
      </w:r>
    </w:p>
    <w:p w14:paraId="0EB5285A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任姝静</w:t>
      </w:r>
      <w:r w:rsidRPr="00F57FBB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1 </w:t>
      </w:r>
      <w:r w:rsidRPr="00F57FBB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，王志华</w:t>
      </w:r>
      <w:r w:rsidRPr="00F57FBB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1 </w:t>
      </w:r>
      <w:r w:rsidRPr="00F57FBB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，张晓鸥</w:t>
      </w:r>
      <w:r w:rsidRPr="00F57FBB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1 </w:t>
      </w:r>
      <w:r w:rsidRPr="00F57FBB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，郭学平</w:t>
      </w:r>
      <w:r w:rsidRPr="00F57FBB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1 </w:t>
      </w:r>
      <w:r w:rsidRPr="00F57FBB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，刘 卫</w:t>
      </w:r>
      <w:r w:rsidRPr="00F57FBB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2 </w:t>
      </w:r>
      <w:r w:rsidRPr="00F57FBB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，王玉玲</w:t>
      </w:r>
      <w:r w:rsidRPr="00F57FBB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1 </w:t>
      </w:r>
    </w:p>
    <w:p w14:paraId="56D9B4B0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（1.华熙生物科技股份有限公司研发中心 山东 济南 250101；2.华中科技大学生命科学与技术学院 湖北 武汉 430074） </w:t>
      </w:r>
    </w:p>
    <w:p w14:paraId="78F597AB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[摘要]目的：</w:t>
      </w:r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研究含透明质酸（Hyaluronic </w:t>
      </w:r>
      <w:proofErr w:type="spellStart"/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acid,HA</w:t>
      </w:r>
      <w:proofErr w:type="spellEnd"/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）、聚谷氨酸钠（Sodium </w:t>
      </w:r>
      <w:proofErr w:type="spellStart"/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polyglutamate,PGA</w:t>
      </w:r>
      <w:proofErr w:type="spellEnd"/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）、乙酰壳糖胺（Acetyl </w:t>
      </w:r>
    </w:p>
    <w:p w14:paraId="00C86779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glucosamine,NAG</w:t>
      </w:r>
      <w:proofErr w:type="spellEnd"/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）的护肤复合物（熙衡因）对皮肤屏障的影响。</w:t>
      </w:r>
      <w:r w:rsidRPr="00F57FBB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方法：</w:t>
      </w:r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采用角质形成细胞评估熙衡因的细胞毒性，在此基 </w:t>
      </w:r>
    </w:p>
    <w:p w14:paraId="2336333F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础上通过3D皮肤模型考察其对吡咯烷酮羧酸（Pyrrolidone carboxylic </w:t>
      </w:r>
      <w:proofErr w:type="spellStart"/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acid,PCA</w:t>
      </w:r>
      <w:proofErr w:type="spellEnd"/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）、丝聚蛋白（</w:t>
      </w:r>
      <w:proofErr w:type="spellStart"/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Filaggrin,FLG</w:t>
      </w:r>
      <w:proofErr w:type="spellEnd"/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）、兜甲 </w:t>
      </w:r>
    </w:p>
    <w:p w14:paraId="7158CAC2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蛋白（</w:t>
      </w:r>
      <w:proofErr w:type="spellStart"/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Loricrin,LOR</w:t>
      </w:r>
      <w:proofErr w:type="spellEnd"/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）、转谷氨酰胺酶1（Transglutaminase 1,TGM 1）和神经酰胺的影响，并通过人体临床实验，于使用 </w:t>
      </w:r>
    </w:p>
    <w:p w14:paraId="766755C5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前、使用后1、2、4周分别测试含有2%熙衡因的乳液对经皮水分流失（Trans epidermal water </w:t>
      </w:r>
      <w:proofErr w:type="spellStart"/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loss,TEWL</w:t>
      </w:r>
      <w:proofErr w:type="spellEnd"/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）的影响。</w:t>
      </w:r>
      <w:r w:rsidRPr="00F57FBB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 xml:space="preserve">结 </w:t>
      </w:r>
    </w:p>
    <w:p w14:paraId="75524E57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果：</w:t>
      </w:r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MTT实验结果表明熙衡因在10 mg/ml浓度范围内对角质形成细胞无明显细胞毒性，选定1.25 mg/ml进行测试，该浓 </w:t>
      </w:r>
    </w:p>
    <w:p w14:paraId="71944F79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度下其可以显著增加PCA、FLG、LOR、TGM1和神经酰胺含量（P＜0.05），并可以上调神经酰胺/蛋白（P＜0.05）和长 </w:t>
      </w:r>
    </w:p>
    <w:p w14:paraId="61B9B623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碳链神经酰胺占比；人体临床功效测试显示，相比空白对照组，含有2%熙衡因的实验组在使用样品后1、2、4周可以显著 </w:t>
      </w:r>
    </w:p>
    <w:p w14:paraId="2C8D4D2F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降低TEWL（P＜0.01）。</w:t>
      </w:r>
      <w:r w:rsidRPr="00F57FBB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结论：</w:t>
      </w:r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熙衡因可以通过提高PCA、FLG、LOR、TGM1和神经酰胺含量，减少TEWL，发挥保湿和修复屏 </w:t>
      </w:r>
    </w:p>
    <w:p w14:paraId="43D6D034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障功能。 </w:t>
      </w:r>
    </w:p>
    <w:p w14:paraId="22FE2359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[关键词]</w:t>
      </w:r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透明质酸；屏障修复；天然保湿因子；丝聚蛋白；兜甲蛋白；转谷氨酰胺酶；神经酰胺 </w:t>
      </w:r>
    </w:p>
    <w:p w14:paraId="0A9ED99D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[中图分类号]</w:t>
      </w:r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R758.2 </w:t>
      </w:r>
      <w:r w:rsidRPr="00F57FBB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[文献标志码]</w:t>
      </w:r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A </w:t>
      </w:r>
      <w:r w:rsidRPr="00F57FBB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[文章编号]</w:t>
      </w:r>
      <w:r w:rsidRPr="00F57FBB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1008-6455（2023）11-0071-05 </w:t>
      </w:r>
    </w:p>
    <w:p w14:paraId="0B0F0C11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Evaluation of Moisturizing Properties and </w:t>
      </w:r>
      <w:proofErr w:type="spellStart"/>
      <w:r w:rsidRPr="00F57FBB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>Infl</w:t>
      </w:r>
      <w:proofErr w:type="spellEnd"/>
      <w:r w:rsidRPr="00F57FBB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 </w:t>
      </w:r>
      <w:proofErr w:type="spellStart"/>
      <w:r w:rsidRPr="00F57FBB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>uence</w:t>
      </w:r>
      <w:proofErr w:type="spellEnd"/>
      <w:r w:rsidRPr="00F57FBB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 of Skin Barrier Repair Function </w:t>
      </w:r>
    </w:p>
    <w:p w14:paraId="5B4EAC36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AvantGarde-Demi" w:hAnsi="AvantGarde-Demi" w:cs="宋体"/>
          <w:b/>
          <w:bCs/>
          <w:color w:val="90268F"/>
          <w:kern w:val="0"/>
          <w:sz w:val="24"/>
          <w:szCs w:val="24"/>
        </w:rPr>
        <w:t xml:space="preserve">of A Cosmetic Material Composed of Hyaluronic </w:t>
      </w:r>
      <w:proofErr w:type="spellStart"/>
      <w:r w:rsidRPr="00F57FBB">
        <w:rPr>
          <w:rFonts w:ascii="AvantGarde-Demi" w:hAnsi="AvantGarde-Demi" w:cs="宋体"/>
          <w:b/>
          <w:bCs/>
          <w:color w:val="90268F"/>
          <w:kern w:val="0"/>
          <w:sz w:val="24"/>
          <w:szCs w:val="24"/>
        </w:rPr>
        <w:t>Acid,Sodium</w:t>
      </w:r>
      <w:proofErr w:type="spellEnd"/>
      <w:r w:rsidRPr="00F57FBB">
        <w:rPr>
          <w:rFonts w:ascii="AvantGarde-Demi" w:hAnsi="AvantGarde-Demi" w:cs="宋体"/>
          <w:b/>
          <w:bCs/>
          <w:color w:val="90268F"/>
          <w:kern w:val="0"/>
          <w:sz w:val="24"/>
          <w:szCs w:val="24"/>
        </w:rPr>
        <w:t xml:space="preserve"> </w:t>
      </w:r>
      <w:proofErr w:type="spellStart"/>
      <w:r w:rsidRPr="00F57FBB">
        <w:rPr>
          <w:rFonts w:ascii="AvantGarde-Demi" w:hAnsi="AvantGarde-Demi" w:cs="宋体"/>
          <w:b/>
          <w:bCs/>
          <w:color w:val="90268F"/>
          <w:kern w:val="0"/>
          <w:sz w:val="24"/>
          <w:szCs w:val="24"/>
        </w:rPr>
        <w:t>Polyglutamate,and</w:t>
      </w:r>
      <w:proofErr w:type="spellEnd"/>
      <w:r w:rsidRPr="00F57FBB">
        <w:rPr>
          <w:rFonts w:ascii="AvantGarde-Demi" w:hAnsi="AvantGarde-Demi" w:cs="宋体"/>
          <w:b/>
          <w:bCs/>
          <w:color w:val="90268F"/>
          <w:kern w:val="0"/>
          <w:sz w:val="24"/>
          <w:szCs w:val="24"/>
        </w:rPr>
        <w:t xml:space="preserve"> </w:t>
      </w:r>
    </w:p>
    <w:p w14:paraId="74316AC2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Acetyl Glucosamine </w:t>
      </w:r>
    </w:p>
    <w:p w14:paraId="26D977D5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REN Shujing</w:t>
      </w:r>
      <w:r w:rsidRPr="00F57FBB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1 </w:t>
      </w:r>
      <w:r w:rsidRPr="00F57FBB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,WANG Zhihua</w:t>
      </w:r>
      <w:r w:rsidRPr="00F57FBB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1 </w:t>
      </w:r>
      <w:r w:rsidRPr="00F57FBB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,ZHANG Xiaoou</w:t>
      </w:r>
      <w:r w:rsidRPr="00F57FBB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1 </w:t>
      </w:r>
      <w:r w:rsidRPr="00F57FBB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,GUO Xueping</w:t>
      </w:r>
      <w:r w:rsidRPr="00F57FBB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1 </w:t>
      </w:r>
      <w:r w:rsidRPr="00F57FBB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,LIU Wei</w:t>
      </w:r>
      <w:r w:rsidRPr="00F57FBB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2 </w:t>
      </w:r>
      <w:r w:rsidRPr="00F57FBB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,WANG Yuling</w:t>
      </w:r>
      <w:r w:rsidRPr="00F57FBB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1 </w:t>
      </w:r>
    </w:p>
    <w:p w14:paraId="7FD6FAD2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(1.R&amp;D Center </w:t>
      </w:r>
      <w:proofErr w:type="spellStart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Bloomage</w:t>
      </w:r>
      <w:proofErr w:type="spellEnd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 Biotechnology </w:t>
      </w:r>
      <w:proofErr w:type="spellStart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Co.,Ltd.,Jinan</w:t>
      </w:r>
      <w:proofErr w:type="spellEnd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 250101,Shandong,China; 2.College of Life Science and </w:t>
      </w:r>
    </w:p>
    <w:p w14:paraId="75613F53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Technology,Huazhong</w:t>
      </w:r>
      <w:proofErr w:type="spellEnd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 University of Science and </w:t>
      </w:r>
      <w:proofErr w:type="spellStart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Technology,Wuhan</w:t>
      </w:r>
      <w:proofErr w:type="spellEnd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 430074,Hubei,China) </w:t>
      </w:r>
    </w:p>
    <w:p w14:paraId="2EC748DE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Abstract: Objective</w:t>
      </w: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 To investigate the eff </w:t>
      </w:r>
      <w:proofErr w:type="spellStart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 of a cosmetic raw material containing HA, PGA and NAG on the skin barrier. </w:t>
      </w:r>
    </w:p>
    <w:p w14:paraId="2E432DEA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Methods </w:t>
      </w: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Keratinocytes were used to evaluate the cytotoxicity, and the eff </w:t>
      </w:r>
      <w:proofErr w:type="spellStart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 on PCA, FLG, LOR, TGM1 and ceramide were </w:t>
      </w:r>
    </w:p>
    <w:p w14:paraId="62452580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lastRenderedPageBreak/>
        <w:t xml:space="preserve">investigated by a 3D skin model. In order to further verify the barrier repair function, the eff </w:t>
      </w:r>
      <w:proofErr w:type="spellStart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 of emulsion containing 2% of </w:t>
      </w:r>
    </w:p>
    <w:p w14:paraId="11BC81E2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the compound material on TEWL was tested before and 1, 2 and 4 weeks after application through clinical trial. </w:t>
      </w:r>
      <w:r w:rsidRPr="00F57FBB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Results </w:t>
      </w: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MTT </w:t>
      </w:r>
    </w:p>
    <w:p w14:paraId="07CF818A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results showed that the compound material had no obvious cytotoxicity to keratinocytes within the concentration of 10 mg/ml, </w:t>
      </w:r>
    </w:p>
    <w:p w14:paraId="3EA934B8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and at 1.25 mg/ml, the compound material could not only </w:t>
      </w:r>
      <w:proofErr w:type="spellStart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 up-regulate the expression of PCA, FLG, LOR, TGM1 </w:t>
      </w:r>
    </w:p>
    <w:p w14:paraId="7C584969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and ceramide (P</w:t>
      </w:r>
      <w:r w:rsidRPr="00F57FBB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0.05),but also increase the ratio of ceramide to protein (P</w:t>
      </w:r>
      <w:r w:rsidRPr="00F57FBB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0.05) and the proportion of ceramide with long</w:t>
      </w: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/>
      </w:r>
    </w:p>
    <w:p w14:paraId="620547CA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chain. The clinical test showed that compared with the control group, the experimental group with 2% of the compound material </w:t>
      </w:r>
    </w:p>
    <w:p w14:paraId="7F9FF9F4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could </w:t>
      </w:r>
      <w:proofErr w:type="spellStart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 reduce TEWL after applying the emulsion for 1 week, 2 weeks and 4 weeks (P</w:t>
      </w:r>
      <w:r w:rsidRPr="00F57FBB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0.01). </w:t>
      </w:r>
      <w:r w:rsidRPr="00F57FBB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Conclusion</w:t>
      </w: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 The </w:t>
      </w:r>
    </w:p>
    <w:p w14:paraId="37450339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cosmetic raw material containing HA, PGA and NAG can exert the function of moisturizing and repairing barrier by increasing </w:t>
      </w:r>
    </w:p>
    <w:p w14:paraId="6D9965AA" w14:textId="77777777" w:rsidR="00F57FBB" w:rsidRPr="00F57FBB" w:rsidRDefault="00F57FBB" w:rsidP="00F57FBB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the content of PCA, FLG, LOR, TGM1 and ceramide, and decreasing TEWL. </w:t>
      </w:r>
    </w:p>
    <w:p w14:paraId="41C8DC63" w14:textId="30DE214C" w:rsidR="000E77C8" w:rsidRPr="00F57FBB" w:rsidRDefault="00F57FBB" w:rsidP="00F57FBB">
      <w:r w:rsidRPr="00F57FBB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Key word:</w:t>
      </w:r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 xml:space="preserve"> hyaluronic acid; skin barrier repair; natural moisturizing factor; fi </w:t>
      </w:r>
      <w:proofErr w:type="spellStart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laggrin</w:t>
      </w:r>
      <w:proofErr w:type="spellEnd"/>
      <w:r w:rsidRPr="00F57FBB">
        <w:rPr>
          <w:rFonts w:ascii="Times New Roman" w:hAnsi="Times New Roman"/>
          <w:color w:val="231F20"/>
          <w:kern w:val="0"/>
          <w:sz w:val="19"/>
          <w:szCs w:val="19"/>
        </w:rPr>
        <w:t>; loricrin; transglutaminase 1; ceramide</w:t>
      </w:r>
    </w:p>
    <w:sectPr w:rsidR="000E77C8" w:rsidRPr="00F57F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0D261" w14:textId="77777777" w:rsidR="00AE2A4D" w:rsidRDefault="00AE2A4D" w:rsidP="003724AB">
      <w:r>
        <w:separator/>
      </w:r>
    </w:p>
  </w:endnote>
  <w:endnote w:type="continuationSeparator" w:id="0">
    <w:p w14:paraId="3E434884" w14:textId="77777777" w:rsidR="00AE2A4D" w:rsidRDefault="00AE2A4D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4D0F7E8D-C02D-4125-82B5-3AD6DC41F657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160DE413-7D57-4165-8D4B-88495381791D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01A861AF-93CA-4E7A-A14C-583BF5CA7F47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26A98BE8-F89E-4597-9D0E-F1359BCA57EB}"/>
  </w:font>
  <w:font w:name="ITC Avant Garde Gothic Demi">
    <w:altName w:val="Cambria"/>
    <w:panose1 w:val="00000000000000000000"/>
    <w:charset w:val="00"/>
    <w:family w:val="roman"/>
    <w:notTrueType/>
    <w:pitch w:val="default"/>
  </w:font>
  <w:font w:name="AvantGarde-Demi">
    <w:altName w:val="Cambria"/>
    <w:panose1 w:val="00000000000000000000"/>
    <w:charset w:val="00"/>
    <w:family w:val="roman"/>
    <w:notTrueType/>
    <w:pitch w:val="default"/>
  </w:font>
  <w:font w:name="方正兰亭中黑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idot-HTF-B06-Bol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C8763" w14:textId="77777777" w:rsidR="00AE2A4D" w:rsidRDefault="00AE2A4D" w:rsidP="003724AB">
      <w:r>
        <w:separator/>
      </w:r>
    </w:p>
  </w:footnote>
  <w:footnote w:type="continuationSeparator" w:id="0">
    <w:p w14:paraId="096780A5" w14:textId="77777777" w:rsidR="00AE2A4D" w:rsidRDefault="00AE2A4D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1007C"/>
    <w:rsid w:val="00114FA6"/>
    <w:rsid w:val="00120E9C"/>
    <w:rsid w:val="001220DB"/>
    <w:rsid w:val="0012241D"/>
    <w:rsid w:val="0012298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432"/>
    <w:rsid w:val="002A68AE"/>
    <w:rsid w:val="002A6D93"/>
    <w:rsid w:val="002B3F84"/>
    <w:rsid w:val="002C08FE"/>
    <w:rsid w:val="002D506F"/>
    <w:rsid w:val="002D64FF"/>
    <w:rsid w:val="002E06E4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90408"/>
    <w:rsid w:val="004915A9"/>
    <w:rsid w:val="00495EDF"/>
    <w:rsid w:val="004A469A"/>
    <w:rsid w:val="004A5C83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32FBD"/>
    <w:rsid w:val="005361F7"/>
    <w:rsid w:val="0053656E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C7FF4"/>
    <w:rsid w:val="005D358D"/>
    <w:rsid w:val="005D37D9"/>
    <w:rsid w:val="005D4F52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E2A4D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40B31"/>
    <w:rsid w:val="00C639A2"/>
    <w:rsid w:val="00C66126"/>
    <w:rsid w:val="00C719E9"/>
    <w:rsid w:val="00C73275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81023"/>
    <w:rsid w:val="00E81217"/>
    <w:rsid w:val="00E837BA"/>
    <w:rsid w:val="00E84A42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457C"/>
    <w:rsid w:val="00F5119C"/>
    <w:rsid w:val="00F51219"/>
    <w:rsid w:val="00F53310"/>
    <w:rsid w:val="00F56281"/>
    <w:rsid w:val="00F57FBB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13931</TotalTime>
  <Pages>2</Pages>
  <Words>412</Words>
  <Characters>2353</Characters>
  <Application>Microsoft Office Word</Application>
  <DocSecurity>0</DocSecurity>
  <Lines>19</Lines>
  <Paragraphs>5</Paragraphs>
  <ScaleCrop>false</ScaleCrop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1965</cp:revision>
  <dcterms:created xsi:type="dcterms:W3CDTF">2022-07-04T07:48:00Z</dcterms:created>
  <dcterms:modified xsi:type="dcterms:W3CDTF">2023-12-01T02:23:00Z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