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FBB93" w14:textId="77777777" w:rsidR="00103BF4" w:rsidRPr="00103BF4" w:rsidRDefault="00103BF4" w:rsidP="00103BF4">
      <w:pPr>
        <w:widowControl/>
        <w:jc w:val="left"/>
        <w:rPr>
          <w:rFonts w:ascii="宋体" w:hAnsi="宋体" w:cs="宋体"/>
          <w:kern w:val="0"/>
          <w:sz w:val="24"/>
          <w:szCs w:val="24"/>
        </w:rPr>
      </w:pPr>
      <w:r w:rsidRPr="00103BF4">
        <w:rPr>
          <w:rFonts w:ascii="方正小标宋_GBK" w:eastAsia="方正小标宋_GBK" w:hAnsi="宋体" w:cs="宋体" w:hint="eastAsia"/>
          <w:color w:val="90268F"/>
          <w:kern w:val="0"/>
          <w:sz w:val="30"/>
          <w:szCs w:val="30"/>
        </w:rPr>
        <w:t xml:space="preserve">龙胆草提取物液体敷料治疗面部敏感性皮肤的疗效及对皮肤屏障功能的影响 </w:t>
      </w:r>
    </w:p>
    <w:p w14:paraId="7A4BEE0F" w14:textId="77777777" w:rsidR="00103BF4" w:rsidRPr="00103BF4" w:rsidRDefault="00103BF4" w:rsidP="00103BF4">
      <w:pPr>
        <w:widowControl/>
        <w:jc w:val="left"/>
        <w:rPr>
          <w:rFonts w:ascii="宋体" w:hAnsi="宋体" w:cs="宋体"/>
          <w:kern w:val="0"/>
          <w:sz w:val="24"/>
          <w:szCs w:val="24"/>
        </w:rPr>
      </w:pPr>
      <w:r w:rsidRPr="00103BF4">
        <w:rPr>
          <w:rFonts w:ascii="方正楷体_GBK" w:eastAsia="方正楷体_GBK" w:hAnsi="宋体" w:cs="宋体" w:hint="eastAsia"/>
          <w:color w:val="231F20"/>
          <w:kern w:val="0"/>
          <w:sz w:val="24"/>
          <w:szCs w:val="24"/>
        </w:rPr>
        <w:t xml:space="preserve">李力翠，杨祎峰，毛 伟，王晓茹 </w:t>
      </w:r>
    </w:p>
    <w:p w14:paraId="4DF8B8CC" w14:textId="77777777" w:rsidR="00103BF4" w:rsidRPr="00103BF4" w:rsidRDefault="00103BF4" w:rsidP="00103BF4">
      <w:pPr>
        <w:widowControl/>
        <w:jc w:val="left"/>
        <w:rPr>
          <w:rFonts w:ascii="宋体" w:hAnsi="宋体" w:cs="宋体"/>
          <w:kern w:val="0"/>
          <w:sz w:val="24"/>
          <w:szCs w:val="24"/>
        </w:rPr>
      </w:pPr>
      <w:r w:rsidRPr="00103BF4">
        <w:rPr>
          <w:rFonts w:ascii="方正楷体_GBK" w:eastAsia="方正楷体_GBK" w:hAnsi="宋体" w:cs="宋体" w:hint="eastAsia"/>
          <w:color w:val="231F20"/>
          <w:kern w:val="0"/>
          <w:sz w:val="18"/>
          <w:szCs w:val="18"/>
        </w:rPr>
        <w:t xml:space="preserve">（石家庄市藁城人民医院皮肤性病科 河北 石家庄 062160） </w:t>
      </w:r>
    </w:p>
    <w:p w14:paraId="59D653FB" w14:textId="77777777" w:rsidR="00103BF4" w:rsidRPr="00103BF4" w:rsidRDefault="00103BF4" w:rsidP="00103BF4">
      <w:pPr>
        <w:widowControl/>
        <w:jc w:val="left"/>
        <w:rPr>
          <w:rFonts w:ascii="宋体" w:hAnsi="宋体" w:cs="宋体"/>
          <w:kern w:val="0"/>
          <w:sz w:val="24"/>
          <w:szCs w:val="24"/>
        </w:rPr>
      </w:pPr>
      <w:r w:rsidRPr="00103BF4">
        <w:rPr>
          <w:rFonts w:ascii="黑体" w:eastAsia="黑体" w:hAnsi="黑体" w:cs="宋体" w:hint="eastAsia"/>
          <w:color w:val="231F20"/>
          <w:kern w:val="0"/>
          <w:sz w:val="18"/>
          <w:szCs w:val="18"/>
        </w:rPr>
        <w:t>[摘要]目的：</w:t>
      </w:r>
      <w:r w:rsidRPr="00103BF4">
        <w:rPr>
          <w:rFonts w:ascii="楷体_GB2312" w:eastAsia="楷体_GB2312" w:hAnsi="宋体" w:cs="宋体" w:hint="eastAsia"/>
          <w:color w:val="231F20"/>
          <w:kern w:val="0"/>
          <w:sz w:val="18"/>
          <w:szCs w:val="18"/>
        </w:rPr>
        <w:t>观察含龙胆草提取物液体敷料对敏感性皮肤患者的影响。</w:t>
      </w:r>
      <w:r w:rsidRPr="00103BF4">
        <w:rPr>
          <w:rFonts w:ascii="黑体" w:eastAsia="黑体" w:hAnsi="黑体" w:cs="宋体" w:hint="eastAsia"/>
          <w:color w:val="231F20"/>
          <w:kern w:val="0"/>
          <w:sz w:val="18"/>
          <w:szCs w:val="18"/>
        </w:rPr>
        <w:t>方法：</w:t>
      </w:r>
      <w:r w:rsidRPr="00103BF4">
        <w:rPr>
          <w:rFonts w:ascii="楷体_GB2312" w:eastAsia="楷体_GB2312" w:hAnsi="宋体" w:cs="宋体" w:hint="eastAsia"/>
          <w:color w:val="231F20"/>
          <w:kern w:val="0"/>
          <w:sz w:val="18"/>
          <w:szCs w:val="18"/>
        </w:rPr>
        <w:t xml:space="preserve">选择2020年2月-2022年2月于笔者医院治疗 </w:t>
      </w:r>
    </w:p>
    <w:p w14:paraId="0E60B747"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的90例敏感性皮肤患者，按随机数字表法分组，对照组45例，给予饮食及生活指导，采用</w:t>
      </w:r>
      <w:proofErr w:type="gramStart"/>
      <w:r w:rsidRPr="00103BF4">
        <w:rPr>
          <w:rFonts w:ascii="楷体_GB2312" w:eastAsia="楷体_GB2312" w:hAnsi="宋体" w:cs="宋体" w:hint="eastAsia"/>
          <w:color w:val="231F20"/>
          <w:kern w:val="0"/>
          <w:sz w:val="18"/>
          <w:szCs w:val="18"/>
        </w:rPr>
        <w:t>氯雷他</w:t>
      </w:r>
      <w:proofErr w:type="gramEnd"/>
      <w:r w:rsidRPr="00103BF4">
        <w:rPr>
          <w:rFonts w:ascii="楷体_GB2312" w:eastAsia="楷体_GB2312" w:hAnsi="宋体" w:cs="宋体" w:hint="eastAsia"/>
          <w:color w:val="231F20"/>
          <w:kern w:val="0"/>
          <w:sz w:val="18"/>
          <w:szCs w:val="18"/>
        </w:rPr>
        <w:t>定片、他</w:t>
      </w:r>
      <w:proofErr w:type="gramStart"/>
      <w:r w:rsidRPr="00103BF4">
        <w:rPr>
          <w:rFonts w:ascii="楷体_GB2312" w:eastAsia="楷体_GB2312" w:hAnsi="宋体" w:cs="宋体" w:hint="eastAsia"/>
          <w:color w:val="231F20"/>
          <w:kern w:val="0"/>
          <w:sz w:val="18"/>
          <w:szCs w:val="18"/>
        </w:rPr>
        <w:t>克莫司</w:t>
      </w:r>
      <w:proofErr w:type="gramEnd"/>
      <w:r w:rsidRPr="00103BF4">
        <w:rPr>
          <w:rFonts w:ascii="楷体_GB2312" w:eastAsia="楷体_GB2312" w:hAnsi="宋体" w:cs="宋体" w:hint="eastAsia"/>
          <w:color w:val="231F20"/>
          <w:kern w:val="0"/>
          <w:sz w:val="18"/>
          <w:szCs w:val="18"/>
        </w:rPr>
        <w:t xml:space="preserve">软膏控制 </w:t>
      </w:r>
    </w:p>
    <w:p w14:paraId="2F63D245"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临床症状，治疗组45例，在对照</w:t>
      </w:r>
      <w:proofErr w:type="gramStart"/>
      <w:r w:rsidRPr="00103BF4">
        <w:rPr>
          <w:rFonts w:ascii="楷体_GB2312" w:eastAsia="楷体_GB2312" w:hAnsi="宋体" w:cs="宋体" w:hint="eastAsia"/>
          <w:color w:val="231F20"/>
          <w:kern w:val="0"/>
          <w:sz w:val="18"/>
          <w:szCs w:val="18"/>
        </w:rPr>
        <w:t>组基础</w:t>
      </w:r>
      <w:proofErr w:type="gramEnd"/>
      <w:r w:rsidRPr="00103BF4">
        <w:rPr>
          <w:rFonts w:ascii="楷体_GB2312" w:eastAsia="楷体_GB2312" w:hAnsi="宋体" w:cs="宋体" w:hint="eastAsia"/>
          <w:color w:val="231F20"/>
          <w:kern w:val="0"/>
          <w:sz w:val="18"/>
          <w:szCs w:val="18"/>
        </w:rPr>
        <w:t xml:space="preserve">上给予含龙胆草提取物液体敷料治疗。治疗前、后检测患者外周血Th1/Th2比例， </w:t>
      </w:r>
    </w:p>
    <w:p w14:paraId="238672BE"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 xml:space="preserve">检测白细胞介素-10（IL-10）、降钙素基因相关肽（Calcitonin gene related peptide，CGRP）、巨噬细胞炎性蛋白1α </w:t>
      </w:r>
    </w:p>
    <w:p w14:paraId="77EC960C"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 xml:space="preserve">（MIP-1α）、白细胞介素-1α（IL-1α）、胸腺基质淋巴细胞生成素（Thymic stromal lymphopoietin，TSLP）水平， </w:t>
      </w:r>
    </w:p>
    <w:p w14:paraId="4A453EF3"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 xml:space="preserve">评价患者皮肤损伤情况，记录患者开始刺痛时间、鼻唇沟和面颊刺痛感评分，检测角质层含水量、皮肤pH、经皮水分丢失 </w:t>
      </w:r>
    </w:p>
    <w:p w14:paraId="5D8CBC07"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w:t>
      </w:r>
      <w:proofErr w:type="spellStart"/>
      <w:r w:rsidRPr="00103BF4">
        <w:rPr>
          <w:rFonts w:ascii="楷体_GB2312" w:eastAsia="楷体_GB2312" w:hAnsi="宋体" w:cs="宋体" w:hint="eastAsia"/>
          <w:color w:val="231F20"/>
          <w:kern w:val="0"/>
          <w:sz w:val="18"/>
          <w:szCs w:val="18"/>
        </w:rPr>
        <w:t>Transepidermal</w:t>
      </w:r>
      <w:proofErr w:type="spellEnd"/>
      <w:r w:rsidRPr="00103BF4">
        <w:rPr>
          <w:rFonts w:ascii="楷体_GB2312" w:eastAsia="楷体_GB2312" w:hAnsi="宋体" w:cs="宋体" w:hint="eastAsia"/>
          <w:color w:val="231F20"/>
          <w:kern w:val="0"/>
          <w:sz w:val="18"/>
          <w:szCs w:val="18"/>
        </w:rPr>
        <w:t xml:space="preserve"> water loss，TEWL）、皮脂含量，给予患者贝克焦虑量表（Beck anxiety inventory，BAI）、皮肤病 </w:t>
      </w:r>
    </w:p>
    <w:p w14:paraId="7B164AE1"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生活质量指标调查表（Dermatology life quality index，DLQI），比较两组患者临床疗效。</w:t>
      </w:r>
      <w:r w:rsidRPr="00103BF4">
        <w:rPr>
          <w:rFonts w:ascii="黑体" w:eastAsia="黑体" w:hAnsi="黑体" w:cs="宋体" w:hint="eastAsia"/>
          <w:color w:val="231F20"/>
          <w:kern w:val="0"/>
          <w:sz w:val="18"/>
          <w:szCs w:val="18"/>
        </w:rPr>
        <w:t>结果：</w:t>
      </w:r>
      <w:r w:rsidRPr="00103BF4">
        <w:rPr>
          <w:rFonts w:ascii="楷体_GB2312" w:eastAsia="楷体_GB2312" w:hAnsi="宋体" w:cs="宋体" w:hint="eastAsia"/>
          <w:color w:val="231F20"/>
          <w:kern w:val="0"/>
          <w:sz w:val="18"/>
          <w:szCs w:val="18"/>
        </w:rPr>
        <w:t xml:space="preserve">治疗后，治疗 </w:t>
      </w:r>
    </w:p>
    <w:p w14:paraId="2143A0FC"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 xml:space="preserve">组TSLP、Th1/Th2低于对照组（P＜0.05），治疗组患者MIP-1α、CGRP、IL-1α水平低于对照组（P＜0.05），治疗 </w:t>
      </w:r>
    </w:p>
    <w:p w14:paraId="3A83B824"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 xml:space="preserve">组患者IL-10水平高于对照组（P＜0.05），治疗组患者乳酸刺激、皮损评分低于对照组（P＜0.05），治疗组乳酸试 </w:t>
      </w:r>
    </w:p>
    <w:p w14:paraId="6A3C19B0" w14:textId="77777777" w:rsidR="00103BF4" w:rsidRPr="00103BF4" w:rsidRDefault="00103BF4" w:rsidP="00103BF4">
      <w:pPr>
        <w:widowControl/>
        <w:jc w:val="left"/>
        <w:rPr>
          <w:rFonts w:ascii="宋体" w:hAnsi="宋体" w:cs="宋体"/>
          <w:kern w:val="0"/>
          <w:sz w:val="24"/>
          <w:szCs w:val="24"/>
        </w:rPr>
      </w:pPr>
      <w:proofErr w:type="gramStart"/>
      <w:r w:rsidRPr="00103BF4">
        <w:rPr>
          <w:rFonts w:ascii="楷体_GB2312" w:eastAsia="楷体_GB2312" w:hAnsi="宋体" w:cs="宋体" w:hint="eastAsia"/>
          <w:color w:val="231F20"/>
          <w:kern w:val="0"/>
          <w:sz w:val="18"/>
          <w:szCs w:val="18"/>
        </w:rPr>
        <w:t>验</w:t>
      </w:r>
      <w:proofErr w:type="gramEnd"/>
      <w:r w:rsidRPr="00103BF4">
        <w:rPr>
          <w:rFonts w:ascii="楷体_GB2312" w:eastAsia="楷体_GB2312" w:hAnsi="宋体" w:cs="宋体" w:hint="eastAsia"/>
          <w:color w:val="231F20"/>
          <w:kern w:val="0"/>
          <w:sz w:val="18"/>
          <w:szCs w:val="18"/>
        </w:rPr>
        <w:t xml:space="preserve">开始刺痛时间较对照组长（P＜0.05），治疗组TEWL、皮肤pH值较对照组低（P＜0.05），治疗组角质层含水量、皮脂含 </w:t>
      </w:r>
    </w:p>
    <w:p w14:paraId="1EB26243"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量高于对照组（P＜0.05），治疗组BAI、DLQI</w:t>
      </w:r>
      <w:proofErr w:type="gramStart"/>
      <w:r w:rsidRPr="00103BF4">
        <w:rPr>
          <w:rFonts w:ascii="楷体_GB2312" w:eastAsia="楷体_GB2312" w:hAnsi="宋体" w:cs="宋体" w:hint="eastAsia"/>
          <w:color w:val="231F20"/>
          <w:kern w:val="0"/>
          <w:sz w:val="18"/>
          <w:szCs w:val="18"/>
        </w:rPr>
        <w:t>评分较</w:t>
      </w:r>
      <w:proofErr w:type="gramEnd"/>
      <w:r w:rsidRPr="00103BF4">
        <w:rPr>
          <w:rFonts w:ascii="楷体_GB2312" w:eastAsia="楷体_GB2312" w:hAnsi="宋体" w:cs="宋体" w:hint="eastAsia"/>
          <w:color w:val="231F20"/>
          <w:kern w:val="0"/>
          <w:sz w:val="18"/>
          <w:szCs w:val="18"/>
        </w:rPr>
        <w:t xml:space="preserve">对照组低（P＜0.05），治疗组患者总有效率（97.50%）较对照组高 </w:t>
      </w:r>
    </w:p>
    <w:p w14:paraId="3C705857"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（82.50%）（P＜0.05）。</w:t>
      </w:r>
      <w:r w:rsidRPr="00103BF4">
        <w:rPr>
          <w:rFonts w:ascii="黑体" w:eastAsia="黑体" w:hAnsi="黑体" w:cs="宋体" w:hint="eastAsia"/>
          <w:color w:val="231F20"/>
          <w:kern w:val="0"/>
          <w:sz w:val="18"/>
          <w:szCs w:val="18"/>
        </w:rPr>
        <w:t>结论：</w:t>
      </w:r>
      <w:r w:rsidRPr="00103BF4">
        <w:rPr>
          <w:rFonts w:ascii="楷体_GB2312" w:eastAsia="楷体_GB2312" w:hAnsi="宋体" w:cs="宋体" w:hint="eastAsia"/>
          <w:color w:val="231F20"/>
          <w:kern w:val="0"/>
          <w:sz w:val="18"/>
          <w:szCs w:val="18"/>
        </w:rPr>
        <w:t xml:space="preserve">含龙胆草提取物液体敷料治疗敏感性皮肤患者，可调节患者免疫，提升抗炎因子水平，抑 </w:t>
      </w:r>
    </w:p>
    <w:p w14:paraId="3CF9DDB1" w14:textId="77777777" w:rsidR="00103BF4" w:rsidRPr="00103BF4" w:rsidRDefault="00103BF4" w:rsidP="00103BF4">
      <w:pPr>
        <w:widowControl/>
        <w:jc w:val="left"/>
        <w:rPr>
          <w:rFonts w:ascii="宋体" w:hAnsi="宋体" w:cs="宋体"/>
          <w:kern w:val="0"/>
          <w:sz w:val="24"/>
          <w:szCs w:val="24"/>
        </w:rPr>
      </w:pPr>
      <w:r w:rsidRPr="00103BF4">
        <w:rPr>
          <w:rFonts w:ascii="楷体_GB2312" w:eastAsia="楷体_GB2312" w:hAnsi="宋体" w:cs="宋体" w:hint="eastAsia"/>
          <w:color w:val="231F20"/>
          <w:kern w:val="0"/>
          <w:sz w:val="18"/>
          <w:szCs w:val="18"/>
        </w:rPr>
        <w:t>制机体炎症，改善患者皮损，提升皮肤抗</w:t>
      </w:r>
      <w:proofErr w:type="gramStart"/>
      <w:r w:rsidRPr="00103BF4">
        <w:rPr>
          <w:rFonts w:ascii="楷体_GB2312" w:eastAsia="楷体_GB2312" w:hAnsi="宋体" w:cs="宋体" w:hint="eastAsia"/>
          <w:color w:val="231F20"/>
          <w:kern w:val="0"/>
          <w:sz w:val="18"/>
          <w:szCs w:val="18"/>
        </w:rPr>
        <w:t>敏作用</w:t>
      </w:r>
      <w:proofErr w:type="gramEnd"/>
      <w:r w:rsidRPr="00103BF4">
        <w:rPr>
          <w:rFonts w:ascii="楷体_GB2312" w:eastAsia="楷体_GB2312" w:hAnsi="宋体" w:cs="宋体" w:hint="eastAsia"/>
          <w:color w:val="231F20"/>
          <w:kern w:val="0"/>
          <w:sz w:val="18"/>
          <w:szCs w:val="18"/>
        </w:rPr>
        <w:t xml:space="preserve">及皮肤屏障功能，缓解患者焦虑，提升生活质量及临床疗效。 </w:t>
      </w:r>
    </w:p>
    <w:p w14:paraId="58BAB234" w14:textId="77777777" w:rsidR="00103BF4" w:rsidRPr="00103BF4" w:rsidRDefault="00103BF4" w:rsidP="00103BF4">
      <w:pPr>
        <w:widowControl/>
        <w:jc w:val="left"/>
        <w:rPr>
          <w:rFonts w:ascii="宋体" w:hAnsi="宋体" w:cs="宋体"/>
          <w:kern w:val="0"/>
          <w:sz w:val="24"/>
          <w:szCs w:val="24"/>
        </w:rPr>
      </w:pPr>
      <w:r w:rsidRPr="00103BF4">
        <w:rPr>
          <w:rFonts w:ascii="黑体" w:eastAsia="黑体" w:hAnsi="黑体" w:cs="宋体" w:hint="eastAsia"/>
          <w:color w:val="231F20"/>
          <w:kern w:val="0"/>
          <w:sz w:val="18"/>
          <w:szCs w:val="18"/>
        </w:rPr>
        <w:t>[关键词]</w:t>
      </w:r>
      <w:r w:rsidRPr="00103BF4">
        <w:rPr>
          <w:rFonts w:ascii="楷体_GB2312" w:eastAsia="楷体_GB2312" w:hAnsi="宋体" w:cs="宋体" w:hint="eastAsia"/>
          <w:color w:val="231F20"/>
          <w:kern w:val="0"/>
          <w:sz w:val="18"/>
          <w:szCs w:val="18"/>
        </w:rPr>
        <w:t xml:space="preserve">龙胆草提取物；液体敷料；敏感性皮肤；抗炎因子；抗敏作用；皮肤屏障功能 </w:t>
      </w:r>
    </w:p>
    <w:p w14:paraId="0D536C1B" w14:textId="77777777" w:rsidR="00103BF4" w:rsidRPr="00103BF4" w:rsidRDefault="00103BF4" w:rsidP="00103BF4">
      <w:pPr>
        <w:widowControl/>
        <w:jc w:val="left"/>
        <w:rPr>
          <w:rFonts w:ascii="宋体" w:hAnsi="宋体" w:cs="宋体"/>
          <w:kern w:val="0"/>
          <w:sz w:val="24"/>
          <w:szCs w:val="24"/>
        </w:rPr>
      </w:pPr>
      <w:r w:rsidRPr="00103BF4">
        <w:rPr>
          <w:rFonts w:ascii="黑体" w:eastAsia="黑体" w:hAnsi="黑体" w:cs="宋体" w:hint="eastAsia"/>
          <w:color w:val="231F20"/>
          <w:kern w:val="0"/>
          <w:sz w:val="18"/>
          <w:szCs w:val="18"/>
        </w:rPr>
        <w:t>[中图分类号]</w:t>
      </w:r>
      <w:r w:rsidRPr="00103BF4">
        <w:rPr>
          <w:rFonts w:ascii="楷体_GB2312" w:eastAsia="楷体_GB2312" w:hAnsi="宋体" w:cs="宋体" w:hint="eastAsia"/>
          <w:color w:val="231F20"/>
          <w:kern w:val="0"/>
          <w:sz w:val="18"/>
          <w:szCs w:val="18"/>
        </w:rPr>
        <w:t xml:space="preserve">R751 </w:t>
      </w:r>
      <w:r w:rsidRPr="00103BF4">
        <w:rPr>
          <w:rFonts w:ascii="黑体" w:eastAsia="黑体" w:hAnsi="黑体" w:cs="宋体" w:hint="eastAsia"/>
          <w:color w:val="231F20"/>
          <w:kern w:val="0"/>
          <w:sz w:val="18"/>
          <w:szCs w:val="18"/>
        </w:rPr>
        <w:t>[文献标志码]</w:t>
      </w:r>
      <w:r w:rsidRPr="00103BF4">
        <w:rPr>
          <w:rFonts w:ascii="楷体_GB2312" w:eastAsia="楷体_GB2312" w:hAnsi="宋体" w:cs="宋体" w:hint="eastAsia"/>
          <w:color w:val="231F20"/>
          <w:kern w:val="0"/>
          <w:sz w:val="18"/>
          <w:szCs w:val="18"/>
        </w:rPr>
        <w:t xml:space="preserve">A </w:t>
      </w:r>
      <w:r w:rsidRPr="00103BF4">
        <w:rPr>
          <w:rFonts w:ascii="黑体" w:eastAsia="黑体" w:hAnsi="黑体" w:cs="宋体" w:hint="eastAsia"/>
          <w:color w:val="231F20"/>
          <w:kern w:val="0"/>
          <w:sz w:val="18"/>
          <w:szCs w:val="18"/>
        </w:rPr>
        <w:t>[文章编号]</w:t>
      </w:r>
      <w:r w:rsidRPr="00103BF4">
        <w:rPr>
          <w:rFonts w:ascii="楷体_GB2312" w:eastAsia="楷体_GB2312" w:hAnsi="宋体" w:cs="宋体" w:hint="eastAsia"/>
          <w:color w:val="231F20"/>
          <w:kern w:val="0"/>
          <w:sz w:val="18"/>
          <w:szCs w:val="18"/>
        </w:rPr>
        <w:t xml:space="preserve">1008-6455（2023）11-0098-05 </w:t>
      </w:r>
    </w:p>
    <w:p w14:paraId="5466FAE9" w14:textId="77777777" w:rsidR="00103BF4" w:rsidRPr="00103BF4" w:rsidRDefault="00103BF4" w:rsidP="00103BF4">
      <w:pPr>
        <w:widowControl/>
        <w:jc w:val="left"/>
        <w:rPr>
          <w:rFonts w:ascii="宋体" w:hAnsi="宋体" w:cs="宋体"/>
          <w:kern w:val="0"/>
          <w:sz w:val="24"/>
          <w:szCs w:val="24"/>
        </w:rPr>
      </w:pPr>
      <w:r w:rsidRPr="00103BF4">
        <w:rPr>
          <w:rFonts w:ascii="ITC Avant Garde Gothic Demi" w:hAnsi="ITC Avant Garde Gothic Demi" w:cs="宋体"/>
          <w:b/>
          <w:bCs/>
          <w:color w:val="90268F"/>
          <w:kern w:val="0"/>
          <w:sz w:val="24"/>
          <w:szCs w:val="24"/>
        </w:rPr>
        <w:t xml:space="preserve">Effect of Liquid Dressing Containing Gentian Extract on Patients with Sensitive Skin </w:t>
      </w:r>
    </w:p>
    <w:p w14:paraId="0DB491D7" w14:textId="77777777" w:rsidR="00103BF4" w:rsidRPr="00103BF4" w:rsidRDefault="00103BF4" w:rsidP="00103BF4">
      <w:pPr>
        <w:widowControl/>
        <w:jc w:val="left"/>
        <w:rPr>
          <w:rFonts w:ascii="宋体" w:hAnsi="宋体" w:cs="宋体"/>
          <w:kern w:val="0"/>
          <w:sz w:val="24"/>
          <w:szCs w:val="24"/>
        </w:rPr>
      </w:pPr>
      <w:r w:rsidRPr="00103BF4">
        <w:rPr>
          <w:rFonts w:ascii="ITC Avant Garde Gothic Demi" w:hAnsi="ITC Avant Garde Gothic Demi" w:cs="宋体"/>
          <w:b/>
          <w:bCs/>
          <w:color w:val="90268F"/>
          <w:kern w:val="0"/>
          <w:sz w:val="24"/>
          <w:szCs w:val="24"/>
        </w:rPr>
        <w:t xml:space="preserve">and Its Effect on the Skin Barrier Function </w:t>
      </w:r>
    </w:p>
    <w:p w14:paraId="634BACBC" w14:textId="77777777" w:rsidR="00103BF4" w:rsidRPr="00103BF4" w:rsidRDefault="00103BF4" w:rsidP="00103BF4">
      <w:pPr>
        <w:widowControl/>
        <w:jc w:val="left"/>
        <w:rPr>
          <w:rFonts w:ascii="宋体" w:hAnsi="宋体" w:cs="宋体"/>
          <w:kern w:val="0"/>
          <w:sz w:val="24"/>
          <w:szCs w:val="24"/>
        </w:rPr>
      </w:pPr>
      <w:r w:rsidRPr="00103BF4">
        <w:rPr>
          <w:rFonts w:ascii="方正兰亭中黑_GBK" w:eastAsia="方正兰亭中黑_GBK" w:hAnsi="宋体" w:cs="宋体" w:hint="eastAsia"/>
          <w:color w:val="231F20"/>
          <w:kern w:val="0"/>
          <w:sz w:val="18"/>
          <w:szCs w:val="18"/>
        </w:rPr>
        <w:t xml:space="preserve">LI </w:t>
      </w:r>
      <w:proofErr w:type="spellStart"/>
      <w:proofErr w:type="gramStart"/>
      <w:r w:rsidRPr="00103BF4">
        <w:rPr>
          <w:rFonts w:ascii="方正兰亭中黑_GBK" w:eastAsia="方正兰亭中黑_GBK" w:hAnsi="宋体" w:cs="宋体" w:hint="eastAsia"/>
          <w:color w:val="231F20"/>
          <w:kern w:val="0"/>
          <w:sz w:val="18"/>
          <w:szCs w:val="18"/>
        </w:rPr>
        <w:t>Licui,YANG</w:t>
      </w:r>
      <w:proofErr w:type="spellEnd"/>
      <w:proofErr w:type="gramEnd"/>
      <w:r w:rsidRPr="00103BF4">
        <w:rPr>
          <w:rFonts w:ascii="方正兰亭中黑_GBK" w:eastAsia="方正兰亭中黑_GBK" w:hAnsi="宋体" w:cs="宋体" w:hint="eastAsia"/>
          <w:color w:val="231F20"/>
          <w:kern w:val="0"/>
          <w:sz w:val="18"/>
          <w:szCs w:val="18"/>
        </w:rPr>
        <w:t xml:space="preserve"> </w:t>
      </w:r>
      <w:proofErr w:type="spellStart"/>
      <w:r w:rsidRPr="00103BF4">
        <w:rPr>
          <w:rFonts w:ascii="方正兰亭中黑_GBK" w:eastAsia="方正兰亭中黑_GBK" w:hAnsi="宋体" w:cs="宋体" w:hint="eastAsia"/>
          <w:color w:val="231F20"/>
          <w:kern w:val="0"/>
          <w:sz w:val="18"/>
          <w:szCs w:val="18"/>
        </w:rPr>
        <w:t>Yifeng,MAO</w:t>
      </w:r>
      <w:proofErr w:type="spellEnd"/>
      <w:r w:rsidRPr="00103BF4">
        <w:rPr>
          <w:rFonts w:ascii="方正兰亭中黑_GBK" w:eastAsia="方正兰亭中黑_GBK" w:hAnsi="宋体" w:cs="宋体" w:hint="eastAsia"/>
          <w:color w:val="231F20"/>
          <w:kern w:val="0"/>
          <w:sz w:val="18"/>
          <w:szCs w:val="18"/>
        </w:rPr>
        <w:t xml:space="preserve"> </w:t>
      </w:r>
      <w:proofErr w:type="spellStart"/>
      <w:r w:rsidRPr="00103BF4">
        <w:rPr>
          <w:rFonts w:ascii="方正兰亭中黑_GBK" w:eastAsia="方正兰亭中黑_GBK" w:hAnsi="宋体" w:cs="宋体" w:hint="eastAsia"/>
          <w:color w:val="231F20"/>
          <w:kern w:val="0"/>
          <w:sz w:val="18"/>
          <w:szCs w:val="18"/>
        </w:rPr>
        <w:t>Wei,WANG</w:t>
      </w:r>
      <w:proofErr w:type="spellEnd"/>
      <w:r w:rsidRPr="00103BF4">
        <w:rPr>
          <w:rFonts w:ascii="方正兰亭中黑_GBK" w:eastAsia="方正兰亭中黑_GBK" w:hAnsi="宋体" w:cs="宋体" w:hint="eastAsia"/>
          <w:color w:val="231F20"/>
          <w:kern w:val="0"/>
          <w:sz w:val="18"/>
          <w:szCs w:val="18"/>
        </w:rPr>
        <w:t xml:space="preserve"> </w:t>
      </w:r>
      <w:proofErr w:type="spellStart"/>
      <w:r w:rsidRPr="00103BF4">
        <w:rPr>
          <w:rFonts w:ascii="方正兰亭中黑_GBK" w:eastAsia="方正兰亭中黑_GBK" w:hAnsi="宋体" w:cs="宋体" w:hint="eastAsia"/>
          <w:color w:val="231F20"/>
          <w:kern w:val="0"/>
          <w:sz w:val="18"/>
          <w:szCs w:val="18"/>
        </w:rPr>
        <w:t>Xiaoru</w:t>
      </w:r>
      <w:proofErr w:type="spellEnd"/>
      <w:r w:rsidRPr="00103BF4">
        <w:rPr>
          <w:rFonts w:ascii="方正兰亭中黑_GBK" w:eastAsia="方正兰亭中黑_GBK" w:hAnsi="宋体" w:cs="宋体" w:hint="eastAsia"/>
          <w:color w:val="231F20"/>
          <w:kern w:val="0"/>
          <w:sz w:val="18"/>
          <w:szCs w:val="18"/>
        </w:rPr>
        <w:t xml:space="preserve"> </w:t>
      </w:r>
    </w:p>
    <w:p w14:paraId="41C8DC63" w14:textId="692E9B03" w:rsidR="000E77C8" w:rsidRDefault="00103BF4" w:rsidP="00103BF4">
      <w:pPr>
        <w:rPr>
          <w:rFonts w:ascii="Times New Roman" w:hAnsi="Times New Roman"/>
          <w:color w:val="231F20"/>
          <w:kern w:val="0"/>
          <w:sz w:val="19"/>
          <w:szCs w:val="19"/>
        </w:rPr>
      </w:pPr>
      <w:r w:rsidRPr="00103BF4">
        <w:rPr>
          <w:rFonts w:ascii="Times New Roman" w:hAnsi="Times New Roman"/>
          <w:color w:val="231F20"/>
          <w:kern w:val="0"/>
          <w:sz w:val="19"/>
          <w:szCs w:val="19"/>
        </w:rPr>
        <w:t xml:space="preserve">(Department of </w:t>
      </w:r>
      <w:proofErr w:type="spellStart"/>
      <w:proofErr w:type="gramStart"/>
      <w:r w:rsidRPr="00103BF4">
        <w:rPr>
          <w:rFonts w:ascii="Times New Roman" w:hAnsi="Times New Roman"/>
          <w:color w:val="231F20"/>
          <w:kern w:val="0"/>
          <w:sz w:val="19"/>
          <w:szCs w:val="19"/>
        </w:rPr>
        <w:t>Dermatology,Shijiazhuang</w:t>
      </w:r>
      <w:proofErr w:type="spellEnd"/>
      <w:proofErr w:type="gramEnd"/>
      <w:r w:rsidRPr="00103BF4">
        <w:rPr>
          <w:rFonts w:ascii="Times New Roman" w:hAnsi="Times New Roman"/>
          <w:color w:val="231F20"/>
          <w:kern w:val="0"/>
          <w:sz w:val="19"/>
          <w:szCs w:val="19"/>
        </w:rPr>
        <w:t xml:space="preserve"> </w:t>
      </w:r>
      <w:proofErr w:type="spellStart"/>
      <w:r w:rsidRPr="00103BF4">
        <w:rPr>
          <w:rFonts w:ascii="Times New Roman" w:hAnsi="Times New Roman"/>
          <w:color w:val="231F20"/>
          <w:kern w:val="0"/>
          <w:sz w:val="19"/>
          <w:szCs w:val="19"/>
        </w:rPr>
        <w:t>Gaocheng</w:t>
      </w:r>
      <w:proofErr w:type="spellEnd"/>
      <w:r w:rsidRPr="00103BF4">
        <w:rPr>
          <w:rFonts w:ascii="Times New Roman" w:hAnsi="Times New Roman"/>
          <w:color w:val="231F20"/>
          <w:kern w:val="0"/>
          <w:sz w:val="19"/>
          <w:szCs w:val="19"/>
        </w:rPr>
        <w:t xml:space="preserve"> People's </w:t>
      </w:r>
      <w:proofErr w:type="spellStart"/>
      <w:r w:rsidRPr="00103BF4">
        <w:rPr>
          <w:rFonts w:ascii="Times New Roman" w:hAnsi="Times New Roman"/>
          <w:color w:val="231F20"/>
          <w:kern w:val="0"/>
          <w:sz w:val="19"/>
          <w:szCs w:val="19"/>
        </w:rPr>
        <w:t>Hospital,Shijiazhuang</w:t>
      </w:r>
      <w:proofErr w:type="spellEnd"/>
      <w:r w:rsidRPr="00103BF4">
        <w:rPr>
          <w:rFonts w:ascii="Times New Roman" w:hAnsi="Times New Roman"/>
          <w:color w:val="231F20"/>
          <w:kern w:val="0"/>
          <w:sz w:val="19"/>
          <w:szCs w:val="19"/>
        </w:rPr>
        <w:t xml:space="preserve"> 062160,Hebei,China)</w:t>
      </w:r>
    </w:p>
    <w:p w14:paraId="64FCF91D" w14:textId="77777777" w:rsidR="00103BF4" w:rsidRPr="00103BF4" w:rsidRDefault="00103BF4" w:rsidP="00103BF4">
      <w:pPr>
        <w:widowControl/>
        <w:jc w:val="left"/>
        <w:rPr>
          <w:rFonts w:ascii="宋体" w:hAnsi="宋体" w:cs="宋体"/>
          <w:kern w:val="0"/>
          <w:sz w:val="24"/>
          <w:szCs w:val="24"/>
        </w:rPr>
      </w:pPr>
      <w:r w:rsidRPr="00103BF4">
        <w:rPr>
          <w:rFonts w:ascii="Didot-HTF-B06-Bold" w:hAnsi="Didot-HTF-B06-Bold" w:cs="宋体"/>
          <w:b/>
          <w:bCs/>
          <w:color w:val="231F20"/>
          <w:kern w:val="0"/>
          <w:sz w:val="19"/>
          <w:szCs w:val="19"/>
        </w:rPr>
        <w:t xml:space="preserve">Abstract: Objective </w:t>
      </w:r>
      <w:r w:rsidRPr="00103BF4">
        <w:rPr>
          <w:rFonts w:ascii="Times New Roman" w:hAnsi="Times New Roman"/>
          <w:color w:val="231F20"/>
          <w:kern w:val="0"/>
          <w:sz w:val="19"/>
          <w:szCs w:val="19"/>
        </w:rPr>
        <w:t xml:space="preserve">To observe the eff </w:t>
      </w:r>
      <w:proofErr w:type="spellStart"/>
      <w:r w:rsidRPr="00103BF4">
        <w:rPr>
          <w:rFonts w:ascii="Times New Roman" w:hAnsi="Times New Roman"/>
          <w:color w:val="231F20"/>
          <w:kern w:val="0"/>
          <w:sz w:val="19"/>
          <w:szCs w:val="19"/>
        </w:rPr>
        <w:t>ect</w:t>
      </w:r>
      <w:proofErr w:type="spellEnd"/>
      <w:r w:rsidRPr="00103BF4">
        <w:rPr>
          <w:rFonts w:ascii="Times New Roman" w:hAnsi="Times New Roman"/>
          <w:color w:val="231F20"/>
          <w:kern w:val="0"/>
          <w:sz w:val="19"/>
          <w:szCs w:val="19"/>
        </w:rPr>
        <w:t xml:space="preserve"> of liquid dressing containing gentian extract on patients with sensitive skin. </w:t>
      </w:r>
      <w:r w:rsidRPr="00103BF4">
        <w:rPr>
          <w:rFonts w:ascii="Didot-HTF-B06-Bold" w:hAnsi="Didot-HTF-B06-Bold" w:cs="宋体"/>
          <w:b/>
          <w:bCs/>
          <w:color w:val="231F20"/>
          <w:kern w:val="0"/>
          <w:sz w:val="19"/>
          <w:szCs w:val="19"/>
        </w:rPr>
        <w:t xml:space="preserve">Methods </w:t>
      </w:r>
    </w:p>
    <w:p w14:paraId="57EDB2C3"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lastRenderedPageBreak/>
        <w:t xml:space="preserve">A total of 90 patients with sensitive skin treated in the author's hospital from February 2020 to February 2022 were divided into </w:t>
      </w:r>
    </w:p>
    <w:p w14:paraId="54EFCBE3"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groups according to random number table method, 45 patients in the control group were given diet and life guidance, loratadine </w:t>
      </w:r>
    </w:p>
    <w:p w14:paraId="0E6DB6A2"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tablets and tacrolimus ointment were used to control clinical symptoms, and 45 patients in the treatment group were given </w:t>
      </w:r>
    </w:p>
    <w:p w14:paraId="22041F4C"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liquid dressing containing gentian extract on the basis of the control group. The Th1/Th2 ratio in peripheral blood of patients </w:t>
      </w:r>
    </w:p>
    <w:p w14:paraId="1331742A"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was detected before and after treatment, and interleukin-10 (IL-10) and Calcitonin gene related peptide were detected. Level </w:t>
      </w:r>
    </w:p>
    <w:p w14:paraId="6B4222A8"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of CGRP, macrophage </w:t>
      </w:r>
      <w:proofErr w:type="spellStart"/>
      <w:r w:rsidRPr="00103BF4">
        <w:rPr>
          <w:rFonts w:ascii="Times New Roman" w:hAnsi="Times New Roman"/>
          <w:color w:val="231F20"/>
          <w:kern w:val="0"/>
          <w:sz w:val="19"/>
          <w:szCs w:val="19"/>
        </w:rPr>
        <w:t>infl</w:t>
      </w:r>
      <w:proofErr w:type="spellEnd"/>
      <w:r w:rsidRPr="00103BF4">
        <w:rPr>
          <w:rFonts w:ascii="Times New Roman" w:hAnsi="Times New Roman"/>
          <w:color w:val="231F20"/>
          <w:kern w:val="0"/>
          <w:sz w:val="19"/>
          <w:szCs w:val="19"/>
        </w:rPr>
        <w:t xml:space="preserve"> </w:t>
      </w:r>
      <w:proofErr w:type="spellStart"/>
      <w:r w:rsidRPr="00103BF4">
        <w:rPr>
          <w:rFonts w:ascii="Times New Roman" w:hAnsi="Times New Roman"/>
          <w:color w:val="231F20"/>
          <w:kern w:val="0"/>
          <w:sz w:val="19"/>
          <w:szCs w:val="19"/>
        </w:rPr>
        <w:t>ammatory</w:t>
      </w:r>
      <w:proofErr w:type="spellEnd"/>
      <w:r w:rsidRPr="00103BF4">
        <w:rPr>
          <w:rFonts w:ascii="Times New Roman" w:hAnsi="Times New Roman"/>
          <w:color w:val="231F20"/>
          <w:kern w:val="0"/>
          <w:sz w:val="19"/>
          <w:szCs w:val="19"/>
        </w:rPr>
        <w:t xml:space="preserve"> protein 1α (MIP-1α), Interleukin-1α (IL-1α) and Thymic stromal lymphopoietin (TSLP) </w:t>
      </w:r>
    </w:p>
    <w:p w14:paraId="63387819"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to evaluate the skin injury of the patients. The time of onset of stabbing, nasolabial groove and cheek tingling were recorded. </w:t>
      </w:r>
    </w:p>
    <w:p w14:paraId="086434AC"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The cuticle water content, skin pH, </w:t>
      </w:r>
      <w:proofErr w:type="spellStart"/>
      <w:r w:rsidRPr="00103BF4">
        <w:rPr>
          <w:rFonts w:ascii="Times New Roman" w:hAnsi="Times New Roman"/>
          <w:color w:val="231F20"/>
          <w:kern w:val="0"/>
          <w:sz w:val="19"/>
          <w:szCs w:val="19"/>
        </w:rPr>
        <w:t>Transepidermal</w:t>
      </w:r>
      <w:proofErr w:type="spellEnd"/>
      <w:r w:rsidRPr="00103BF4">
        <w:rPr>
          <w:rFonts w:ascii="Times New Roman" w:hAnsi="Times New Roman"/>
          <w:color w:val="231F20"/>
          <w:kern w:val="0"/>
          <w:sz w:val="19"/>
          <w:szCs w:val="19"/>
        </w:rPr>
        <w:t xml:space="preserve"> water loss (TEWL) and sebum content were detected. The Beck anxiety </w:t>
      </w:r>
    </w:p>
    <w:p w14:paraId="074558F2"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inventory was administered to the patients. (BAI) and Dermatology life quality index (DLQI) were evaluated to compare the </w:t>
      </w:r>
    </w:p>
    <w:p w14:paraId="0A71E0B5"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clinical </w:t>
      </w:r>
      <w:proofErr w:type="spellStart"/>
      <w:r w:rsidRPr="00103BF4">
        <w:rPr>
          <w:rFonts w:ascii="Times New Roman" w:hAnsi="Times New Roman"/>
          <w:color w:val="231F20"/>
          <w:kern w:val="0"/>
          <w:sz w:val="19"/>
          <w:szCs w:val="19"/>
        </w:rPr>
        <w:t>effi</w:t>
      </w:r>
      <w:proofErr w:type="spellEnd"/>
      <w:r w:rsidRPr="00103BF4">
        <w:rPr>
          <w:rFonts w:ascii="Times New Roman" w:hAnsi="Times New Roman"/>
          <w:color w:val="231F20"/>
          <w:kern w:val="0"/>
          <w:sz w:val="19"/>
          <w:szCs w:val="19"/>
        </w:rPr>
        <w:t xml:space="preserve"> </w:t>
      </w:r>
      <w:proofErr w:type="spellStart"/>
      <w:r w:rsidRPr="00103BF4">
        <w:rPr>
          <w:rFonts w:ascii="Times New Roman" w:hAnsi="Times New Roman"/>
          <w:color w:val="231F20"/>
          <w:kern w:val="0"/>
          <w:sz w:val="19"/>
          <w:szCs w:val="19"/>
        </w:rPr>
        <w:t>cacy</w:t>
      </w:r>
      <w:proofErr w:type="spellEnd"/>
      <w:r w:rsidRPr="00103BF4">
        <w:rPr>
          <w:rFonts w:ascii="Times New Roman" w:hAnsi="Times New Roman"/>
          <w:color w:val="231F20"/>
          <w:kern w:val="0"/>
          <w:sz w:val="19"/>
          <w:szCs w:val="19"/>
        </w:rPr>
        <w:t xml:space="preserve"> of the two groups.</w:t>
      </w:r>
      <w:r w:rsidRPr="00103BF4">
        <w:rPr>
          <w:rFonts w:ascii="Didot-HTF-B06-Bold" w:hAnsi="Didot-HTF-B06-Bold" w:cs="宋体"/>
          <w:b/>
          <w:bCs/>
          <w:color w:val="231F20"/>
          <w:kern w:val="0"/>
          <w:sz w:val="19"/>
          <w:szCs w:val="19"/>
        </w:rPr>
        <w:t xml:space="preserve"> Results </w:t>
      </w:r>
      <w:r w:rsidRPr="00103BF4">
        <w:rPr>
          <w:rFonts w:ascii="Times New Roman" w:hAnsi="Times New Roman"/>
          <w:color w:val="231F20"/>
          <w:kern w:val="0"/>
          <w:sz w:val="19"/>
          <w:szCs w:val="19"/>
        </w:rPr>
        <w:t xml:space="preserve">TSLP and Th1/Th2 in the treatment group were lower than those in the reference </w:t>
      </w:r>
    </w:p>
    <w:p w14:paraId="4DC63A59"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group (P</w:t>
      </w:r>
      <w:r w:rsidRPr="00103BF4">
        <w:rPr>
          <w:rFonts w:ascii="宋体" w:hAnsi="宋体" w:cs="宋体" w:hint="eastAsia"/>
          <w:color w:val="231F20"/>
          <w:kern w:val="0"/>
          <w:sz w:val="19"/>
          <w:szCs w:val="19"/>
        </w:rPr>
        <w:t>＜</w:t>
      </w:r>
      <w:r w:rsidRPr="00103BF4">
        <w:rPr>
          <w:rFonts w:ascii="Times New Roman" w:hAnsi="Times New Roman"/>
          <w:color w:val="231F20"/>
          <w:kern w:val="0"/>
          <w:sz w:val="19"/>
          <w:szCs w:val="19"/>
        </w:rPr>
        <w:t xml:space="preserve">0.05), the level of MIP-1α, CGRP and IL-1α in the treatment group were significantly lower than those in the </w:t>
      </w:r>
    </w:p>
    <w:p w14:paraId="48B943D2"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reference group (P</w:t>
      </w:r>
      <w:r w:rsidRPr="00103BF4">
        <w:rPr>
          <w:rFonts w:ascii="宋体" w:hAnsi="宋体" w:cs="宋体" w:hint="eastAsia"/>
          <w:color w:val="231F20"/>
          <w:kern w:val="0"/>
          <w:sz w:val="19"/>
          <w:szCs w:val="19"/>
        </w:rPr>
        <w:t>＜</w:t>
      </w:r>
      <w:r w:rsidRPr="00103BF4">
        <w:rPr>
          <w:rFonts w:ascii="Times New Roman" w:hAnsi="Times New Roman"/>
          <w:color w:val="231F20"/>
          <w:kern w:val="0"/>
          <w:sz w:val="19"/>
          <w:szCs w:val="19"/>
        </w:rPr>
        <w:t xml:space="preserve">0.05), and the level of IL-10 in the treatment group were </w:t>
      </w:r>
      <w:proofErr w:type="spellStart"/>
      <w:r w:rsidRPr="00103BF4">
        <w:rPr>
          <w:rFonts w:ascii="Times New Roman" w:hAnsi="Times New Roman"/>
          <w:color w:val="231F20"/>
          <w:kern w:val="0"/>
          <w:sz w:val="19"/>
          <w:szCs w:val="19"/>
        </w:rPr>
        <w:t>signifi</w:t>
      </w:r>
      <w:proofErr w:type="spellEnd"/>
      <w:r w:rsidRPr="00103BF4">
        <w:rPr>
          <w:rFonts w:ascii="Times New Roman" w:hAnsi="Times New Roman"/>
          <w:color w:val="231F20"/>
          <w:kern w:val="0"/>
          <w:sz w:val="19"/>
          <w:szCs w:val="19"/>
        </w:rPr>
        <w:t xml:space="preserve"> </w:t>
      </w:r>
      <w:proofErr w:type="spellStart"/>
      <w:r w:rsidRPr="00103BF4">
        <w:rPr>
          <w:rFonts w:ascii="Times New Roman" w:hAnsi="Times New Roman"/>
          <w:color w:val="231F20"/>
          <w:kern w:val="0"/>
          <w:sz w:val="19"/>
          <w:szCs w:val="19"/>
        </w:rPr>
        <w:t>cantly</w:t>
      </w:r>
      <w:proofErr w:type="spellEnd"/>
      <w:r w:rsidRPr="00103BF4">
        <w:rPr>
          <w:rFonts w:ascii="Times New Roman" w:hAnsi="Times New Roman"/>
          <w:color w:val="231F20"/>
          <w:kern w:val="0"/>
          <w:sz w:val="19"/>
          <w:szCs w:val="19"/>
        </w:rPr>
        <w:t xml:space="preserve"> lower (P</w:t>
      </w:r>
      <w:r w:rsidRPr="00103BF4">
        <w:rPr>
          <w:rFonts w:ascii="宋体" w:hAnsi="宋体" w:cs="宋体" w:hint="eastAsia"/>
          <w:color w:val="231F20"/>
          <w:kern w:val="0"/>
          <w:sz w:val="19"/>
          <w:szCs w:val="19"/>
        </w:rPr>
        <w:t>＜</w:t>
      </w:r>
      <w:r w:rsidRPr="00103BF4">
        <w:rPr>
          <w:rFonts w:ascii="Times New Roman" w:hAnsi="Times New Roman"/>
          <w:color w:val="231F20"/>
          <w:kern w:val="0"/>
          <w:sz w:val="19"/>
          <w:szCs w:val="19"/>
        </w:rPr>
        <w:t xml:space="preserve">0.05). The scores of lactic </w:t>
      </w:r>
    </w:p>
    <w:p w14:paraId="066BA0D1"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acid stimulation and skin lesions in the treatment group were </w:t>
      </w:r>
      <w:proofErr w:type="spellStart"/>
      <w:r w:rsidRPr="00103BF4">
        <w:rPr>
          <w:rFonts w:ascii="Times New Roman" w:hAnsi="Times New Roman"/>
          <w:color w:val="231F20"/>
          <w:kern w:val="0"/>
          <w:sz w:val="19"/>
          <w:szCs w:val="19"/>
        </w:rPr>
        <w:t>signifi</w:t>
      </w:r>
      <w:proofErr w:type="spellEnd"/>
      <w:r w:rsidRPr="00103BF4">
        <w:rPr>
          <w:rFonts w:ascii="Times New Roman" w:hAnsi="Times New Roman"/>
          <w:color w:val="231F20"/>
          <w:kern w:val="0"/>
          <w:sz w:val="19"/>
          <w:szCs w:val="19"/>
        </w:rPr>
        <w:t xml:space="preserve"> </w:t>
      </w:r>
      <w:proofErr w:type="spellStart"/>
      <w:r w:rsidRPr="00103BF4">
        <w:rPr>
          <w:rFonts w:ascii="Times New Roman" w:hAnsi="Times New Roman"/>
          <w:color w:val="231F20"/>
          <w:kern w:val="0"/>
          <w:sz w:val="19"/>
          <w:szCs w:val="19"/>
        </w:rPr>
        <w:t>cantly</w:t>
      </w:r>
      <w:proofErr w:type="spellEnd"/>
      <w:r w:rsidRPr="00103BF4">
        <w:rPr>
          <w:rFonts w:ascii="Times New Roman" w:hAnsi="Times New Roman"/>
          <w:color w:val="231F20"/>
          <w:kern w:val="0"/>
          <w:sz w:val="19"/>
          <w:szCs w:val="19"/>
        </w:rPr>
        <w:t xml:space="preserve"> lower than those in the reference group, the time of </w:t>
      </w:r>
    </w:p>
    <w:p w14:paraId="6A051703"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onset of lactic acid test stinging longer than the reference group(P</w:t>
      </w:r>
      <w:r w:rsidRPr="00103BF4">
        <w:rPr>
          <w:rFonts w:ascii="宋体" w:hAnsi="宋体" w:cs="宋体" w:hint="eastAsia"/>
          <w:color w:val="231F20"/>
          <w:kern w:val="0"/>
          <w:sz w:val="19"/>
          <w:szCs w:val="19"/>
        </w:rPr>
        <w:t>＜</w:t>
      </w:r>
      <w:r w:rsidRPr="00103BF4">
        <w:rPr>
          <w:rFonts w:ascii="Times New Roman" w:hAnsi="Times New Roman"/>
          <w:color w:val="231F20"/>
          <w:kern w:val="0"/>
          <w:sz w:val="19"/>
          <w:szCs w:val="19"/>
        </w:rPr>
        <w:t xml:space="preserve">0.05). TEWL and skin pH were lower than those of the </w:t>
      </w:r>
    </w:p>
    <w:p w14:paraId="6050CAEB"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reference group (P</w:t>
      </w:r>
      <w:r w:rsidRPr="00103BF4">
        <w:rPr>
          <w:rFonts w:ascii="宋体" w:hAnsi="宋体" w:cs="宋体" w:hint="eastAsia"/>
          <w:color w:val="231F20"/>
          <w:kern w:val="0"/>
          <w:sz w:val="19"/>
          <w:szCs w:val="19"/>
        </w:rPr>
        <w:t>＜</w:t>
      </w:r>
      <w:r w:rsidRPr="00103BF4">
        <w:rPr>
          <w:rFonts w:ascii="Times New Roman" w:hAnsi="Times New Roman"/>
          <w:color w:val="231F20"/>
          <w:kern w:val="0"/>
          <w:sz w:val="19"/>
          <w:szCs w:val="19"/>
        </w:rPr>
        <w:t xml:space="preserve">0.05), the stratum corneum water content and sebum content of the treatment group were higher than those </w:t>
      </w:r>
    </w:p>
    <w:p w14:paraId="16858ABE"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of the reference group (P</w:t>
      </w:r>
      <w:r w:rsidRPr="00103BF4">
        <w:rPr>
          <w:rFonts w:ascii="宋体" w:hAnsi="宋体" w:cs="宋体" w:hint="eastAsia"/>
          <w:color w:val="231F20"/>
          <w:kern w:val="0"/>
          <w:sz w:val="19"/>
          <w:szCs w:val="19"/>
        </w:rPr>
        <w:t>＜</w:t>
      </w:r>
      <w:r w:rsidRPr="00103BF4">
        <w:rPr>
          <w:rFonts w:ascii="Times New Roman" w:hAnsi="Times New Roman"/>
          <w:color w:val="231F20"/>
          <w:kern w:val="0"/>
          <w:sz w:val="19"/>
          <w:szCs w:val="19"/>
        </w:rPr>
        <w:t xml:space="preserve">0.05), and the BAI and DLQI scores of the treatment group were lower than those of the reference </w:t>
      </w:r>
    </w:p>
    <w:p w14:paraId="1C2847AF"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group (P</w:t>
      </w:r>
      <w:r w:rsidRPr="00103BF4">
        <w:rPr>
          <w:rFonts w:ascii="宋体" w:hAnsi="宋体" w:cs="宋体" w:hint="eastAsia"/>
          <w:color w:val="231F20"/>
          <w:kern w:val="0"/>
          <w:sz w:val="19"/>
          <w:szCs w:val="19"/>
        </w:rPr>
        <w:t>＜</w:t>
      </w:r>
      <w:r w:rsidRPr="00103BF4">
        <w:rPr>
          <w:rFonts w:ascii="Times New Roman" w:hAnsi="Times New Roman"/>
          <w:color w:val="231F20"/>
          <w:kern w:val="0"/>
          <w:sz w:val="19"/>
          <w:szCs w:val="19"/>
        </w:rPr>
        <w:t xml:space="preserve">0.05). The total eff </w:t>
      </w:r>
      <w:proofErr w:type="spellStart"/>
      <w:r w:rsidRPr="00103BF4">
        <w:rPr>
          <w:rFonts w:ascii="Times New Roman" w:hAnsi="Times New Roman"/>
          <w:color w:val="231F20"/>
          <w:kern w:val="0"/>
          <w:sz w:val="19"/>
          <w:szCs w:val="19"/>
        </w:rPr>
        <w:t>ective</w:t>
      </w:r>
      <w:proofErr w:type="spellEnd"/>
      <w:r w:rsidRPr="00103BF4">
        <w:rPr>
          <w:rFonts w:ascii="Times New Roman" w:hAnsi="Times New Roman"/>
          <w:color w:val="231F20"/>
          <w:kern w:val="0"/>
          <w:sz w:val="19"/>
          <w:szCs w:val="19"/>
        </w:rPr>
        <w:t xml:space="preserve"> rate (97.50%) in the treatment group was higher than that in the reference group (82.50%) </w:t>
      </w:r>
    </w:p>
    <w:p w14:paraId="5052C1F1"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(P</w:t>
      </w:r>
      <w:r w:rsidRPr="00103BF4">
        <w:rPr>
          <w:rFonts w:ascii="宋体" w:hAnsi="宋体" w:cs="宋体" w:hint="eastAsia"/>
          <w:color w:val="231F20"/>
          <w:kern w:val="0"/>
          <w:sz w:val="19"/>
          <w:szCs w:val="19"/>
        </w:rPr>
        <w:t>＜</w:t>
      </w:r>
      <w:r w:rsidRPr="00103BF4">
        <w:rPr>
          <w:rFonts w:ascii="Times New Roman" w:hAnsi="Times New Roman"/>
          <w:color w:val="231F20"/>
          <w:kern w:val="0"/>
          <w:sz w:val="19"/>
          <w:szCs w:val="19"/>
        </w:rPr>
        <w:t xml:space="preserve">0.05). </w:t>
      </w:r>
      <w:r w:rsidRPr="00103BF4">
        <w:rPr>
          <w:rFonts w:ascii="Didot-HTF-B06-Bold" w:hAnsi="Didot-HTF-B06-Bold" w:cs="宋体"/>
          <w:b/>
          <w:bCs/>
          <w:color w:val="231F20"/>
          <w:kern w:val="0"/>
          <w:sz w:val="19"/>
          <w:szCs w:val="19"/>
        </w:rPr>
        <w:t>Conclusion</w:t>
      </w:r>
      <w:r w:rsidRPr="00103BF4">
        <w:rPr>
          <w:rFonts w:ascii="Times New Roman" w:hAnsi="Times New Roman"/>
          <w:color w:val="231F20"/>
          <w:kern w:val="0"/>
          <w:sz w:val="19"/>
          <w:szCs w:val="19"/>
        </w:rPr>
        <w:t xml:space="preserve"> In the treatment of patients with sensitive skin, liquid dressing containing gentian extract can regulate </w:t>
      </w:r>
    </w:p>
    <w:p w14:paraId="11E70B54"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patients' immunity, increase the level of anti-</w:t>
      </w:r>
      <w:proofErr w:type="spellStart"/>
      <w:r w:rsidRPr="00103BF4">
        <w:rPr>
          <w:rFonts w:ascii="Times New Roman" w:hAnsi="Times New Roman"/>
          <w:color w:val="231F20"/>
          <w:kern w:val="0"/>
          <w:sz w:val="19"/>
          <w:szCs w:val="19"/>
        </w:rPr>
        <w:t>infl</w:t>
      </w:r>
      <w:proofErr w:type="spellEnd"/>
      <w:r w:rsidRPr="00103BF4">
        <w:rPr>
          <w:rFonts w:ascii="Times New Roman" w:hAnsi="Times New Roman"/>
          <w:color w:val="231F20"/>
          <w:kern w:val="0"/>
          <w:sz w:val="19"/>
          <w:szCs w:val="19"/>
        </w:rPr>
        <w:t xml:space="preserve"> </w:t>
      </w:r>
      <w:proofErr w:type="spellStart"/>
      <w:r w:rsidRPr="00103BF4">
        <w:rPr>
          <w:rFonts w:ascii="Times New Roman" w:hAnsi="Times New Roman"/>
          <w:color w:val="231F20"/>
          <w:kern w:val="0"/>
          <w:sz w:val="19"/>
          <w:szCs w:val="19"/>
        </w:rPr>
        <w:t>ammatory</w:t>
      </w:r>
      <w:proofErr w:type="spellEnd"/>
      <w:r w:rsidRPr="00103BF4">
        <w:rPr>
          <w:rFonts w:ascii="Times New Roman" w:hAnsi="Times New Roman"/>
          <w:color w:val="231F20"/>
          <w:kern w:val="0"/>
          <w:sz w:val="19"/>
          <w:szCs w:val="19"/>
        </w:rPr>
        <w:t xml:space="preserve"> factors, inhibit body </w:t>
      </w:r>
      <w:proofErr w:type="spellStart"/>
      <w:r w:rsidRPr="00103BF4">
        <w:rPr>
          <w:rFonts w:ascii="Times New Roman" w:hAnsi="Times New Roman"/>
          <w:color w:val="231F20"/>
          <w:kern w:val="0"/>
          <w:sz w:val="19"/>
          <w:szCs w:val="19"/>
        </w:rPr>
        <w:t>infl</w:t>
      </w:r>
      <w:proofErr w:type="spellEnd"/>
      <w:r w:rsidRPr="00103BF4">
        <w:rPr>
          <w:rFonts w:ascii="Times New Roman" w:hAnsi="Times New Roman"/>
          <w:color w:val="231F20"/>
          <w:kern w:val="0"/>
          <w:sz w:val="19"/>
          <w:szCs w:val="19"/>
        </w:rPr>
        <w:t xml:space="preserve"> </w:t>
      </w:r>
      <w:proofErr w:type="spellStart"/>
      <w:r w:rsidRPr="00103BF4">
        <w:rPr>
          <w:rFonts w:ascii="Times New Roman" w:hAnsi="Times New Roman"/>
          <w:color w:val="231F20"/>
          <w:kern w:val="0"/>
          <w:sz w:val="19"/>
          <w:szCs w:val="19"/>
        </w:rPr>
        <w:t>ammation</w:t>
      </w:r>
      <w:proofErr w:type="spellEnd"/>
      <w:r w:rsidRPr="00103BF4">
        <w:rPr>
          <w:rFonts w:ascii="Times New Roman" w:hAnsi="Times New Roman"/>
          <w:color w:val="231F20"/>
          <w:kern w:val="0"/>
          <w:sz w:val="19"/>
          <w:szCs w:val="19"/>
        </w:rPr>
        <w:t xml:space="preserve">, improve skin lesions, enhance </w:t>
      </w:r>
    </w:p>
    <w:p w14:paraId="67AA41A5" w14:textId="77777777" w:rsidR="00103BF4" w:rsidRPr="00103BF4" w:rsidRDefault="00103BF4" w:rsidP="00103BF4">
      <w:pPr>
        <w:widowControl/>
        <w:jc w:val="left"/>
        <w:rPr>
          <w:rFonts w:ascii="宋体" w:hAnsi="宋体" w:cs="宋体"/>
          <w:kern w:val="0"/>
          <w:sz w:val="24"/>
          <w:szCs w:val="24"/>
        </w:rPr>
      </w:pPr>
      <w:r w:rsidRPr="00103BF4">
        <w:rPr>
          <w:rFonts w:ascii="Times New Roman" w:hAnsi="Times New Roman"/>
          <w:color w:val="231F20"/>
          <w:kern w:val="0"/>
          <w:sz w:val="19"/>
          <w:szCs w:val="19"/>
        </w:rPr>
        <w:t xml:space="preserve">skin anti-sensitivity and skin barrier function, relieve patients' anxiety, improve quality of life and clinical </w:t>
      </w:r>
      <w:proofErr w:type="spellStart"/>
      <w:r w:rsidRPr="00103BF4">
        <w:rPr>
          <w:rFonts w:ascii="Times New Roman" w:hAnsi="Times New Roman"/>
          <w:color w:val="231F20"/>
          <w:kern w:val="0"/>
          <w:sz w:val="19"/>
          <w:szCs w:val="19"/>
        </w:rPr>
        <w:t>effi</w:t>
      </w:r>
      <w:proofErr w:type="spellEnd"/>
      <w:r w:rsidRPr="00103BF4">
        <w:rPr>
          <w:rFonts w:ascii="Times New Roman" w:hAnsi="Times New Roman"/>
          <w:color w:val="231F20"/>
          <w:kern w:val="0"/>
          <w:sz w:val="19"/>
          <w:szCs w:val="19"/>
        </w:rPr>
        <w:t xml:space="preserve"> </w:t>
      </w:r>
      <w:proofErr w:type="spellStart"/>
      <w:r w:rsidRPr="00103BF4">
        <w:rPr>
          <w:rFonts w:ascii="Times New Roman" w:hAnsi="Times New Roman"/>
          <w:color w:val="231F20"/>
          <w:kern w:val="0"/>
          <w:sz w:val="19"/>
          <w:szCs w:val="19"/>
        </w:rPr>
        <w:t>cacy</w:t>
      </w:r>
      <w:proofErr w:type="spellEnd"/>
      <w:r w:rsidRPr="00103BF4">
        <w:rPr>
          <w:rFonts w:ascii="Times New Roman" w:hAnsi="Times New Roman"/>
          <w:color w:val="231F20"/>
          <w:kern w:val="0"/>
          <w:sz w:val="19"/>
          <w:szCs w:val="19"/>
        </w:rPr>
        <w:t xml:space="preserve">. </w:t>
      </w:r>
    </w:p>
    <w:p w14:paraId="5A326118" w14:textId="09A5569F" w:rsidR="00103BF4" w:rsidRPr="00103BF4" w:rsidRDefault="00103BF4" w:rsidP="00103BF4">
      <w:pPr>
        <w:rPr>
          <w:rFonts w:hint="eastAsia"/>
        </w:rPr>
      </w:pPr>
      <w:r w:rsidRPr="00103BF4">
        <w:rPr>
          <w:rFonts w:ascii="Didot-HTF-B06-Bold" w:hAnsi="Didot-HTF-B06-Bold" w:cs="宋体"/>
          <w:b/>
          <w:bCs/>
          <w:color w:val="231F20"/>
          <w:kern w:val="0"/>
          <w:sz w:val="19"/>
          <w:szCs w:val="19"/>
        </w:rPr>
        <w:t>Key words:</w:t>
      </w:r>
      <w:r w:rsidRPr="00103BF4">
        <w:rPr>
          <w:rFonts w:ascii="Times New Roman" w:hAnsi="Times New Roman"/>
          <w:color w:val="231F20"/>
          <w:kern w:val="0"/>
          <w:sz w:val="19"/>
          <w:szCs w:val="19"/>
        </w:rPr>
        <w:t xml:space="preserve"> gentian extract; liquid dressing; sensitive skin; anti-</w:t>
      </w:r>
      <w:proofErr w:type="spellStart"/>
      <w:r w:rsidRPr="00103BF4">
        <w:rPr>
          <w:rFonts w:ascii="Times New Roman" w:hAnsi="Times New Roman"/>
          <w:color w:val="231F20"/>
          <w:kern w:val="0"/>
          <w:sz w:val="19"/>
          <w:szCs w:val="19"/>
        </w:rPr>
        <w:t>infl</w:t>
      </w:r>
      <w:proofErr w:type="spellEnd"/>
      <w:r w:rsidRPr="00103BF4">
        <w:rPr>
          <w:rFonts w:ascii="Times New Roman" w:hAnsi="Times New Roman"/>
          <w:color w:val="231F20"/>
          <w:kern w:val="0"/>
          <w:sz w:val="19"/>
          <w:szCs w:val="19"/>
        </w:rPr>
        <w:t xml:space="preserve"> </w:t>
      </w:r>
      <w:proofErr w:type="spellStart"/>
      <w:r w:rsidRPr="00103BF4">
        <w:rPr>
          <w:rFonts w:ascii="Times New Roman" w:hAnsi="Times New Roman"/>
          <w:color w:val="231F20"/>
          <w:kern w:val="0"/>
          <w:sz w:val="19"/>
          <w:szCs w:val="19"/>
        </w:rPr>
        <w:t>ammatory</w:t>
      </w:r>
      <w:proofErr w:type="spellEnd"/>
      <w:r w:rsidRPr="00103BF4">
        <w:rPr>
          <w:rFonts w:ascii="Times New Roman" w:hAnsi="Times New Roman"/>
          <w:color w:val="231F20"/>
          <w:kern w:val="0"/>
          <w:sz w:val="19"/>
          <w:szCs w:val="19"/>
        </w:rPr>
        <w:t xml:space="preserve"> factor; anti-allergic eff </w:t>
      </w:r>
      <w:proofErr w:type="spellStart"/>
      <w:r w:rsidRPr="00103BF4">
        <w:rPr>
          <w:rFonts w:ascii="Times New Roman" w:hAnsi="Times New Roman"/>
          <w:color w:val="231F20"/>
          <w:kern w:val="0"/>
          <w:sz w:val="19"/>
          <w:szCs w:val="19"/>
        </w:rPr>
        <w:t>ect</w:t>
      </w:r>
      <w:proofErr w:type="spellEnd"/>
      <w:r w:rsidRPr="00103BF4">
        <w:rPr>
          <w:rFonts w:ascii="Times New Roman" w:hAnsi="Times New Roman"/>
          <w:color w:val="231F20"/>
          <w:kern w:val="0"/>
          <w:sz w:val="19"/>
          <w:szCs w:val="19"/>
        </w:rPr>
        <w:t>; skin barrier function</w:t>
      </w:r>
    </w:p>
    <w:sectPr w:rsidR="00103BF4" w:rsidRPr="00103B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91E37" w14:textId="77777777" w:rsidR="00761CE0" w:rsidRDefault="00761CE0" w:rsidP="003724AB">
      <w:r>
        <w:separator/>
      </w:r>
    </w:p>
  </w:endnote>
  <w:endnote w:type="continuationSeparator" w:id="0">
    <w:p w14:paraId="6BB4F5DC" w14:textId="77777777" w:rsidR="00761CE0" w:rsidRDefault="00761CE0"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5C5FC210-C4E3-4BA6-B596-FA122E2A71B2}"/>
  </w:font>
  <w:font w:name="方正楷体_GBK">
    <w:panose1 w:val="03000509000000000000"/>
    <w:charset w:val="86"/>
    <w:family w:val="script"/>
    <w:pitch w:val="fixed"/>
    <w:sig w:usb0="00000001" w:usb1="080E0000" w:usb2="00000010" w:usb3="00000000" w:csb0="00040000" w:csb1="00000000"/>
    <w:embedRegular r:id="rId2" w:subsetted="1" w:fontKey="{0F3E87B3-A092-45BC-8C63-49F87035E50B}"/>
  </w:font>
  <w:font w:name="黑体">
    <w:altName w:val="SimHei"/>
    <w:panose1 w:val="02010609060101010101"/>
    <w:charset w:val="86"/>
    <w:family w:val="modern"/>
    <w:pitch w:val="fixed"/>
    <w:sig w:usb0="800002BF" w:usb1="38CF7CFA" w:usb2="00000016" w:usb3="00000000" w:csb0="00040001" w:csb1="00000000"/>
    <w:embedRegular r:id="rId3" w:subsetted="1" w:fontKey="{8321BD23-1B34-4300-B9C6-73881077EF87}"/>
  </w:font>
  <w:font w:name="楷体_GB2312">
    <w:panose1 w:val="02010609030101010101"/>
    <w:charset w:val="86"/>
    <w:family w:val="modern"/>
    <w:pitch w:val="fixed"/>
    <w:sig w:usb0="00000001" w:usb1="080E0000" w:usb2="00000010" w:usb3="00000000" w:csb0="00040000" w:csb1="00000000"/>
    <w:embedRegular r:id="rId4" w:subsetted="1" w:fontKey="{0ACBC71D-DAD9-45E8-BB1E-CC781CA34FAD}"/>
  </w:font>
  <w:font w:name="ITC Avant Garde Gothic 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C4269" w14:textId="77777777" w:rsidR="00761CE0" w:rsidRDefault="00761CE0" w:rsidP="003724AB">
      <w:r>
        <w:separator/>
      </w:r>
    </w:p>
  </w:footnote>
  <w:footnote w:type="continuationSeparator" w:id="0">
    <w:p w14:paraId="2010E1A1" w14:textId="77777777" w:rsidR="00761CE0" w:rsidRDefault="00761CE0"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1CE0"/>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14244</TotalTime>
  <Pages>2</Pages>
  <Words>617</Words>
  <Characters>3522</Characters>
  <Application>Microsoft Office Word</Application>
  <DocSecurity>0</DocSecurity>
  <Lines>29</Lines>
  <Paragraphs>8</Paragraphs>
  <ScaleCrop>false</ScaleCrop>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1996</cp:revision>
  <dcterms:created xsi:type="dcterms:W3CDTF">2022-07-04T07:48:00Z</dcterms:created>
  <dcterms:modified xsi:type="dcterms:W3CDTF">2023-12-01T07:36:00Z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