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C9A18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方正小标宋_GBK" w:eastAsia="方正小标宋_GBK" w:hAnsi="宋体" w:cs="宋体" w:hint="eastAsia"/>
          <w:color w:val="231F20"/>
          <w:kern w:val="0"/>
          <w:sz w:val="30"/>
          <w:szCs w:val="30"/>
        </w:rPr>
        <w:t>微种植体支抗与传统支抗在安氏Ⅱ类错</w:t>
      </w:r>
      <w:r w:rsidRPr="008A0A08">
        <w:rPr>
          <w:rFonts w:ascii="方正小标宋_GBK" w:eastAsia="方正小标宋_GBK" w:hAnsi="宋体" w:cs="宋体" w:hint="eastAsia"/>
          <w:color w:val="231F20"/>
          <w:kern w:val="0"/>
          <w:sz w:val="24"/>
          <w:szCs w:val="24"/>
        </w:rPr>
        <w:t>牙合</w:t>
      </w:r>
      <w:r w:rsidRPr="008A0A08">
        <w:rPr>
          <w:rFonts w:ascii="方正小标宋_GBK" w:eastAsia="方正小标宋_GBK" w:hAnsi="宋体" w:cs="宋体" w:hint="eastAsia"/>
          <w:color w:val="231F20"/>
          <w:kern w:val="0"/>
          <w:sz w:val="30"/>
          <w:szCs w:val="30"/>
        </w:rPr>
        <w:t xml:space="preserve">畸形矫治中的应用效果观察 </w:t>
      </w:r>
    </w:p>
    <w:p w14:paraId="78F07F74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陈周艳</w:t>
      </w:r>
      <w:r w:rsidRPr="008A0A08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1 </w:t>
      </w:r>
      <w:r w:rsidRPr="008A0A08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，周 吉</w:t>
      </w:r>
      <w:r w:rsidRPr="008A0A08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2 </w:t>
      </w:r>
      <w:r w:rsidRPr="008A0A08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，徐 涛</w:t>
      </w:r>
      <w:r w:rsidRPr="008A0A08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3 </w:t>
      </w:r>
      <w:r w:rsidRPr="008A0A08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，冉 萍</w:t>
      </w:r>
      <w:r w:rsidRPr="008A0A08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4 </w:t>
      </w:r>
    </w:p>
    <w:p w14:paraId="3D568532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（1.雅安市人民医院口腔科 四川 雅安 625000；2.宜宾市中医医院口腔科 四川 宜宾 644000；3.绵阳市第三人民医院颌面甲 </w:t>
      </w:r>
    </w:p>
    <w:p w14:paraId="3B4092FA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状腺头颈外科 四川 绵阳 621000；4.涪城美舒美口腔诊所 四川 绵阳 621000） </w:t>
      </w:r>
    </w:p>
    <w:p w14:paraId="3753430F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[摘要]目的：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观察微种植体支抗与传统支抗在安氏Ⅱ类错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4"/>
          <w:szCs w:val="14"/>
        </w:rPr>
        <w:t>牙合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畸形矫治中的应用效果。</w:t>
      </w:r>
      <w:r w:rsidRPr="008A0A0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方法：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回顾性分析笔者医院2017年5 </w:t>
      </w:r>
    </w:p>
    <w:p w14:paraId="10405FCF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月-2022年5月收治的安氏Ⅱ类错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4"/>
          <w:szCs w:val="14"/>
        </w:rPr>
        <w:t>牙合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畸形患者的临床资料，按照性别、年龄1:1分组原则将80例患者分为两组，每组40例。对 </w:t>
      </w:r>
    </w:p>
    <w:p w14:paraId="10A83502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照组采取传统支抗治疗，观察组采取微种植体支抗治疗。比较两组治疗前后的临床疗效、矫治效果主观评价、头影测量值及 </w:t>
      </w:r>
    </w:p>
    <w:p w14:paraId="20065908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治疗后的并发症发生率。</w:t>
      </w:r>
      <w:r w:rsidRPr="008A0A0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结果：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治疗后，观察组患者上中切牙凸距差、上中切牙倾角差明显高于对照组，磨牙位移明显小于 </w:t>
      </w:r>
    </w:p>
    <w:p w14:paraId="2E925070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对照组（P＜0.05）；观察组矫治效果主观评价的舒适性、依从性、顺利性评分均高于对照组（P＜0.05）；观察组患者上下 </w:t>
      </w:r>
    </w:p>
    <w:p w14:paraId="3E24ABEF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颌齿槽座角差（ANB）、下齿槽座角（SNB）、上齿槽座角（SNA）水平明显低于对照组（P＜0.05）；观察组患者并发症发生 </w:t>
      </w:r>
    </w:p>
    <w:p w14:paraId="1FE4C219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率为5.00%，明显低于对照组的20.00%（P＜0.05）。</w:t>
      </w:r>
      <w:r w:rsidRPr="008A0A0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结论：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与传统支抗治疗相比，微种植体支抗对安氏Ⅱ类错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4"/>
          <w:szCs w:val="14"/>
        </w:rPr>
        <w:t>牙合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畸形患者疗 </w:t>
      </w:r>
    </w:p>
    <w:p w14:paraId="25F6FD7E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效较好，能缓解患者局部牙周严重反应，减少治疗后并发症发生概率。 </w:t>
      </w:r>
    </w:p>
    <w:p w14:paraId="0F679E66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[关键词]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微种植体支抗；传统支抗；安氏Ⅱ类；错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4"/>
          <w:szCs w:val="14"/>
        </w:rPr>
        <w:t>牙合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畸形；正畸 </w:t>
      </w:r>
    </w:p>
    <w:p w14:paraId="15345772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[中图分类号]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R783.5 </w:t>
      </w:r>
      <w:r w:rsidRPr="008A0A0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[文献标志码]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A </w:t>
      </w:r>
      <w:r w:rsidRPr="008A0A0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[文章编号]</w:t>
      </w:r>
      <w:r w:rsidRPr="008A0A0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1008-6455(2023)12-0164-04 </w:t>
      </w:r>
    </w:p>
    <w:p w14:paraId="140B6039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AvantGarde-Demi" w:hAnsi="AvantGarde-Demi" w:cs="宋体"/>
          <w:b/>
          <w:bCs/>
          <w:color w:val="231F20"/>
          <w:kern w:val="0"/>
          <w:sz w:val="24"/>
          <w:szCs w:val="24"/>
        </w:rPr>
        <w:t xml:space="preserve">Application Effects of Orthodontic Micro-implant Anchorage and Traditional </w:t>
      </w:r>
    </w:p>
    <w:p w14:paraId="137719D7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AvantGarde-Demi" w:hAnsi="AvantGarde-Demi" w:cs="宋体"/>
          <w:b/>
          <w:bCs/>
          <w:color w:val="231F20"/>
          <w:kern w:val="0"/>
          <w:sz w:val="24"/>
          <w:szCs w:val="24"/>
        </w:rPr>
        <w:t xml:space="preserve">Anchorage in Correcting Angle Class </w:t>
      </w:r>
      <w:r w:rsidRPr="008A0A08">
        <w:rPr>
          <w:rFonts w:ascii="方正兰亭中黑_GBK" w:eastAsia="方正兰亭中黑_GBK" w:hAnsi="宋体" w:cs="宋体" w:hint="eastAsia"/>
          <w:color w:val="231F20"/>
          <w:kern w:val="0"/>
          <w:sz w:val="24"/>
          <w:szCs w:val="24"/>
        </w:rPr>
        <w:t>Ⅱ</w:t>
      </w:r>
      <w:r w:rsidRPr="008A0A08">
        <w:rPr>
          <w:rFonts w:ascii="AvantGarde-Demi" w:hAnsi="AvantGarde-Demi" w:cs="宋体"/>
          <w:b/>
          <w:bCs/>
          <w:color w:val="231F20"/>
          <w:kern w:val="0"/>
          <w:sz w:val="24"/>
          <w:szCs w:val="24"/>
        </w:rPr>
        <w:t xml:space="preserve"> Malocclusion </w:t>
      </w:r>
    </w:p>
    <w:p w14:paraId="5B270A3F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CHEN Zhouyan</w:t>
      </w:r>
      <w:r w:rsidRPr="008A0A08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1 </w:t>
      </w:r>
      <w:r w:rsidRPr="008A0A08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,ZHOU Ji</w:t>
      </w:r>
      <w:r w:rsidRPr="008A0A08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2 </w:t>
      </w:r>
      <w:r w:rsidRPr="008A0A08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,XU Tao</w:t>
      </w:r>
      <w:r w:rsidRPr="008A0A08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3 </w:t>
      </w:r>
      <w:r w:rsidRPr="008A0A08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,RAN Ping</w:t>
      </w:r>
      <w:r w:rsidRPr="008A0A08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4 </w:t>
      </w:r>
    </w:p>
    <w:p w14:paraId="03C0F51F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(1.Department of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Stomatology,Ya'an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People's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Hospital,Ya'an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625000,Sichuan,China; 2.Department of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Stomatology,Yibin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</w:p>
    <w:p w14:paraId="1C885EC3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Hospital of Traditional Chinese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Medicine,Yibin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644000,Sichuan,China; 3.Department of Maxillofacial Thyroid Head and Neck </w:t>
      </w:r>
    </w:p>
    <w:p w14:paraId="36A810AB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Surgery,the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Third Hospital of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Mianyang,Mianyang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621000,Sichuan,China; 4.Fucheng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Meishumei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Dental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Clinic,Mianyang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</w:p>
    <w:p w14:paraId="689441F1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621000,Sichuan,China) </w:t>
      </w:r>
    </w:p>
    <w:p w14:paraId="1AB2A1E1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Abstract: Objective </w:t>
      </w: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The aim of this study was to observe the application eff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ects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of orthodontic micro-implant anchorage and </w:t>
      </w:r>
    </w:p>
    <w:p w14:paraId="51F8FAB8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traditional anchorage in correcting Angle Class Ⅱ malocclusion. </w:t>
      </w:r>
      <w:r w:rsidRPr="008A0A08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Methods </w:t>
      </w: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The clinical data of 80 patients with Angle Class Ⅱ </w:t>
      </w:r>
    </w:p>
    <w:p w14:paraId="57B757B5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malocclusion who were admitted to the hospital from May 2017 to May 2022 were analyzed retrospectively. The patients were </w:t>
      </w:r>
    </w:p>
    <w:p w14:paraId="2FACA60D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lastRenderedPageBreak/>
        <w:t xml:space="preserve">assigned to two groups according to gender and age, with 40 cases in each group. Patients in the control group were treated </w:t>
      </w:r>
    </w:p>
    <w:p w14:paraId="0D6B1EC3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with traditional anchorage, and those in the observation group were treated with orthodontic micro-implant anchorage. </w:t>
      </w:r>
    </w:p>
    <w:p w14:paraId="6187D0BE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Clinical efficacy, subjective correction effect, cephalometric measurements and the incidence of complications were </w:t>
      </w:r>
    </w:p>
    <w:p w14:paraId="325FE1D1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compared between the groups. </w:t>
      </w:r>
      <w:r w:rsidRPr="008A0A08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Results </w:t>
      </w: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After treatment, the upper central incisor protruding distance and angle diff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erence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</w:p>
    <w:p w14:paraId="2366CBC5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in the observation group were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larger, and molar displacement was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smaller when compared with </w:t>
      </w:r>
    </w:p>
    <w:p w14:paraId="5F444FCA" w14:textId="4E2853B3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those in the control group (P</w:t>
      </w:r>
      <w:r w:rsidRPr="008A0A08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0.05). The observation group had higher scores than the control group in terms of comfort level,</w:t>
      </w:r>
      <w:r w:rsidRPr="008A0A08">
        <w:rPr>
          <w:rFonts w:ascii="Times New Roman" w:hAnsi="Times New Roman"/>
          <w:color w:val="231F20"/>
          <w:sz w:val="19"/>
          <w:szCs w:val="19"/>
        </w:rPr>
        <w:t xml:space="preserve"> </w:t>
      </w: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compliance and correction (P</w:t>
      </w:r>
      <w:r w:rsidRPr="008A0A08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0.05). The point A nasion point B (ANB) angle, the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sella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-nasion-point B (SNB) angle and </w:t>
      </w:r>
    </w:p>
    <w:p w14:paraId="5AB5E03B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the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sella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-nasion-point A (SNA) angle in the observation group were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smaller when compared with those in the </w:t>
      </w:r>
    </w:p>
    <w:p w14:paraId="0E682E33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control group (P</w:t>
      </w:r>
      <w:r w:rsidRPr="008A0A08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0.05). The incidence of complications in the observation group (5.00%) was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lower than that in </w:t>
      </w:r>
    </w:p>
    <w:p w14:paraId="4DC10A2E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the control group (20.00%) (P</w:t>
      </w:r>
      <w:r w:rsidRPr="008A0A08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0.05). </w:t>
      </w:r>
      <w:r w:rsidRPr="008A0A08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Conclusion </w:t>
      </w: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Compared with traditional anchorage, orthodontic micro-implant anchorage </w:t>
      </w:r>
    </w:p>
    <w:p w14:paraId="01B074A3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is more eff </w:t>
      </w:r>
      <w:proofErr w:type="spellStart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ective</w:t>
      </w:r>
      <w:proofErr w:type="spellEnd"/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 in the treatment of patients with Angle Class Ⅱ malocclusion. The latter can relieve local severe periodontal </w:t>
      </w:r>
    </w:p>
    <w:p w14:paraId="6977303C" w14:textId="77777777" w:rsidR="008A0A08" w:rsidRPr="008A0A08" w:rsidRDefault="008A0A08" w:rsidP="008A0A0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 xml:space="preserve">reactions, and reduce complications after treatment. </w:t>
      </w:r>
    </w:p>
    <w:p w14:paraId="2793D7D8" w14:textId="1C824F49" w:rsidR="00D069B8" w:rsidRPr="008A0A08" w:rsidRDefault="008A0A08" w:rsidP="008A0A08">
      <w:r w:rsidRPr="008A0A08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Key words: </w:t>
      </w:r>
      <w:r w:rsidRPr="008A0A08">
        <w:rPr>
          <w:rFonts w:ascii="Times New Roman" w:hAnsi="Times New Roman"/>
          <w:color w:val="231F20"/>
          <w:kern w:val="0"/>
          <w:sz w:val="19"/>
          <w:szCs w:val="19"/>
        </w:rPr>
        <w:t>micro-implant anchorage; traditional anchorage; Angle Class Ⅱ; malocclusion; orthodontics</w:t>
      </w:r>
    </w:p>
    <w:sectPr w:rsidR="00D069B8" w:rsidRPr="008A0A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5A8B6" w14:textId="77777777" w:rsidR="00F46C7A" w:rsidRDefault="00F46C7A" w:rsidP="003724AB">
      <w:r>
        <w:separator/>
      </w:r>
    </w:p>
  </w:endnote>
  <w:endnote w:type="continuationSeparator" w:id="0">
    <w:p w14:paraId="388CB093" w14:textId="77777777" w:rsidR="00F46C7A" w:rsidRDefault="00F46C7A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8CD74BEF-05E5-4EA2-9D07-A28AC5FF1BDB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E8E06A5C-C725-411E-86ED-72788BECAB45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51405206-FD98-491F-B711-800485B54296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25AD84C8-E257-400E-9762-A1DC4E846285}"/>
  </w:font>
  <w:font w:name="AvantGarde-Demi">
    <w:altName w:val="Cambria"/>
    <w:panose1 w:val="00000000000000000000"/>
    <w:charset w:val="00"/>
    <w:family w:val="roman"/>
    <w:notTrueType/>
    <w:pitch w:val="default"/>
  </w:font>
  <w:font w:name="方正兰亭中黑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idot-HTF-B06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00837" w14:textId="77777777" w:rsidR="00F46C7A" w:rsidRDefault="00F46C7A" w:rsidP="003724AB">
      <w:r>
        <w:separator/>
      </w:r>
    </w:p>
  </w:footnote>
  <w:footnote w:type="continuationSeparator" w:id="0">
    <w:p w14:paraId="68A759D2" w14:textId="77777777" w:rsidR="00F46C7A" w:rsidRDefault="00F46C7A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5C2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22A70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553AC"/>
    <w:rsid w:val="00161F39"/>
    <w:rsid w:val="00164031"/>
    <w:rsid w:val="00167F26"/>
    <w:rsid w:val="001713E2"/>
    <w:rsid w:val="00173B80"/>
    <w:rsid w:val="00176A55"/>
    <w:rsid w:val="0018054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1D7"/>
    <w:rsid w:val="002A6432"/>
    <w:rsid w:val="002A68AE"/>
    <w:rsid w:val="002A6D93"/>
    <w:rsid w:val="002B3F84"/>
    <w:rsid w:val="002C08FE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6586"/>
    <w:rsid w:val="0056047D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A18F4"/>
    <w:rsid w:val="005C2F6F"/>
    <w:rsid w:val="005C7FF4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7193"/>
    <w:rsid w:val="005F0C55"/>
    <w:rsid w:val="005F35DD"/>
    <w:rsid w:val="005F4D98"/>
    <w:rsid w:val="005F5F2D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70386"/>
    <w:rsid w:val="006706A4"/>
    <w:rsid w:val="006737ED"/>
    <w:rsid w:val="00674B20"/>
    <w:rsid w:val="006753C0"/>
    <w:rsid w:val="0067628C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430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A747F"/>
    <w:rsid w:val="007B0D87"/>
    <w:rsid w:val="007C0EFB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1F9A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0A08"/>
    <w:rsid w:val="008A3877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0F4A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27F05"/>
    <w:rsid w:val="00B33EF3"/>
    <w:rsid w:val="00B3555B"/>
    <w:rsid w:val="00B37888"/>
    <w:rsid w:val="00B44B30"/>
    <w:rsid w:val="00B51139"/>
    <w:rsid w:val="00B51776"/>
    <w:rsid w:val="00B530E8"/>
    <w:rsid w:val="00B53D93"/>
    <w:rsid w:val="00B54C60"/>
    <w:rsid w:val="00B55305"/>
    <w:rsid w:val="00B5763D"/>
    <w:rsid w:val="00B578E3"/>
    <w:rsid w:val="00B6108A"/>
    <w:rsid w:val="00B62384"/>
    <w:rsid w:val="00B6334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0EEC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069B8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DF7169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57"/>
    <w:rsid w:val="00E60764"/>
    <w:rsid w:val="00E64246"/>
    <w:rsid w:val="00E64590"/>
    <w:rsid w:val="00E64659"/>
    <w:rsid w:val="00E67009"/>
    <w:rsid w:val="00E74D28"/>
    <w:rsid w:val="00E76422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AB6"/>
    <w:rsid w:val="00F33AEE"/>
    <w:rsid w:val="00F421E0"/>
    <w:rsid w:val="00F4251C"/>
    <w:rsid w:val="00F4457C"/>
    <w:rsid w:val="00F46C7A"/>
    <w:rsid w:val="00F5119C"/>
    <w:rsid w:val="00F51219"/>
    <w:rsid w:val="00F53310"/>
    <w:rsid w:val="00F56281"/>
    <w:rsid w:val="00F57FBB"/>
    <w:rsid w:val="00F65BF2"/>
    <w:rsid w:val="00F65F58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8EF"/>
    <w:rsid w:val="00FD2F0C"/>
    <w:rsid w:val="00FE6144"/>
    <w:rsid w:val="00FF138E"/>
    <w:rsid w:val="00FF159F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15431</TotalTime>
  <Pages>2</Pages>
  <Words>469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2262</cp:revision>
  <dcterms:created xsi:type="dcterms:W3CDTF">2022-07-04T07:48:00Z</dcterms:created>
  <dcterms:modified xsi:type="dcterms:W3CDTF">2023-12-28T03:33:00Z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