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60E0D" w14:textId="77777777" w:rsidR="003D6EBF" w:rsidRDefault="003D6EBF" w:rsidP="003D6EBF">
      <w:r>
        <w:t>微种植体支抗治疗安氏</w:t>
      </w:r>
      <w:r>
        <w:rPr>
          <w:rFonts w:ascii="宋体" w:hAnsi="宋体" w:cs="宋体" w:hint="eastAsia"/>
        </w:rPr>
        <w:t>Ⅰ</w:t>
      </w:r>
      <w:r>
        <w:t>类及</w:t>
      </w:r>
      <w:r>
        <w:rPr>
          <w:rFonts w:ascii="宋体" w:hAnsi="宋体" w:cs="宋体" w:hint="eastAsia"/>
        </w:rPr>
        <w:t>Ⅱ</w:t>
      </w:r>
      <w:r>
        <w:t>类上颌前突青少年患者的矫治效果分析</w:t>
      </w:r>
      <w:r>
        <w:t xml:space="preserve"> </w:t>
      </w:r>
    </w:p>
    <w:p w14:paraId="1B60A22F" w14:textId="77777777" w:rsidR="003D6EBF" w:rsidRDefault="003D6EBF" w:rsidP="003D6EBF"/>
    <w:p w14:paraId="18A9D4F8" w14:textId="77777777" w:rsidR="003D6EBF" w:rsidRDefault="003D6EBF" w:rsidP="003D6EBF">
      <w:r>
        <w:t>李茂良</w:t>
      </w:r>
      <w:r>
        <w:t xml:space="preserve">1 </w:t>
      </w:r>
      <w:r>
        <w:t>，许</w:t>
      </w:r>
      <w:r>
        <w:t xml:space="preserve"> </w:t>
      </w:r>
      <w:r>
        <w:t>龙</w:t>
      </w:r>
      <w:r>
        <w:t xml:space="preserve">2 </w:t>
      </w:r>
      <w:r>
        <w:t>，王</w:t>
      </w:r>
      <w:r>
        <w:t xml:space="preserve"> </w:t>
      </w:r>
      <w:r>
        <w:t>瑶</w:t>
      </w:r>
      <w:r>
        <w:t xml:space="preserve">3 </w:t>
      </w:r>
      <w:r>
        <w:t>，李洋洋</w:t>
      </w:r>
      <w:r>
        <w:t xml:space="preserve">4 </w:t>
      </w:r>
    </w:p>
    <w:p w14:paraId="4F0602E8" w14:textId="77777777" w:rsidR="003D6EBF" w:rsidRDefault="003D6EBF" w:rsidP="003D6EBF"/>
    <w:p w14:paraId="53360FFB" w14:textId="465BE8FD" w:rsidR="003D6EBF" w:rsidRDefault="003D6EBF" w:rsidP="003D6EBF">
      <w:r>
        <w:t>（上海市</w:t>
      </w:r>
      <w:proofErr w:type="gramStart"/>
      <w:r>
        <w:t>金山区牙防</w:t>
      </w:r>
      <w:proofErr w:type="gramEnd"/>
      <w:r>
        <w:t>所</w:t>
      </w:r>
      <w:r>
        <w:t xml:space="preserve"> 1.</w:t>
      </w:r>
      <w:r>
        <w:t>正畸科；</w:t>
      </w:r>
      <w:r>
        <w:t>2.</w:t>
      </w:r>
      <w:r>
        <w:t>外科；</w:t>
      </w:r>
      <w:r>
        <w:t>3.</w:t>
      </w:r>
      <w:r>
        <w:t>牙体牙髓科；</w:t>
      </w:r>
      <w:r>
        <w:t>4.</w:t>
      </w:r>
      <w:r>
        <w:t>牙周科</w:t>
      </w:r>
      <w:r>
        <w:t xml:space="preserve"> </w:t>
      </w:r>
      <w:r>
        <w:t>上海</w:t>
      </w:r>
      <w:r>
        <w:t xml:space="preserve"> 200540</w:t>
      </w:r>
      <w:r>
        <w:t>）</w:t>
      </w:r>
    </w:p>
    <w:p w14:paraId="6C3DDB12" w14:textId="77777777" w:rsidR="003D6EBF" w:rsidRDefault="003D6EBF" w:rsidP="003D6EBF"/>
    <w:p w14:paraId="4EC4E96F" w14:textId="5C0FFBDB" w:rsidR="003D6EBF" w:rsidRDefault="003D6EBF" w:rsidP="003D6EBF">
      <w:r>
        <w:t xml:space="preserve"> [</w:t>
      </w:r>
      <w:r>
        <w:t>摘要</w:t>
      </w:r>
      <w:r>
        <w:t>]</w:t>
      </w:r>
      <w:r>
        <w:t>目的：探讨微种植体支抗对安氏</w:t>
      </w:r>
      <w:r>
        <w:rPr>
          <w:rFonts w:ascii="宋体" w:hAnsi="宋体" w:cs="宋体" w:hint="eastAsia"/>
        </w:rPr>
        <w:t>Ⅰ</w:t>
      </w:r>
      <w:r>
        <w:t>类及</w:t>
      </w:r>
      <w:r>
        <w:rPr>
          <w:rFonts w:ascii="宋体" w:hAnsi="宋体" w:cs="宋体" w:hint="eastAsia"/>
        </w:rPr>
        <w:t>Ⅱ</w:t>
      </w:r>
      <w:r>
        <w:t>类上颌前突青少年患者的矫治效果。方法：回顾性分析</w:t>
      </w:r>
      <w:r>
        <w:t>2019</w:t>
      </w:r>
      <w:r>
        <w:t>年</w:t>
      </w:r>
      <w:r>
        <w:t>6</w:t>
      </w:r>
      <w:r>
        <w:t>月</w:t>
      </w:r>
      <w:r>
        <w:t>-2022</w:t>
      </w:r>
      <w:r>
        <w:t>年</w:t>
      </w:r>
      <w:r>
        <w:t xml:space="preserve">1 </w:t>
      </w:r>
      <w:proofErr w:type="gramStart"/>
      <w:r>
        <w:t>月笔者</w:t>
      </w:r>
      <w:proofErr w:type="gramEnd"/>
      <w:r>
        <w:t>医院就诊的</w:t>
      </w:r>
      <w:r>
        <w:t>60</w:t>
      </w:r>
      <w:r>
        <w:t>例安氏</w:t>
      </w:r>
      <w:r>
        <w:rPr>
          <w:rFonts w:ascii="宋体" w:hAnsi="宋体" w:cs="宋体" w:hint="eastAsia"/>
        </w:rPr>
        <w:t>Ⅰ</w:t>
      </w:r>
      <w:r>
        <w:t>类及</w:t>
      </w:r>
      <w:r>
        <w:rPr>
          <w:rFonts w:ascii="宋体" w:hAnsi="宋体" w:cs="宋体" w:hint="eastAsia"/>
        </w:rPr>
        <w:t>Ⅱ</w:t>
      </w:r>
      <w:r>
        <w:t>类上颌前突青少年患者的临床资料。按照治疗方式分组：对照组（</w:t>
      </w:r>
      <w:r>
        <w:t>30</w:t>
      </w:r>
      <w:r>
        <w:t>例）给予传统支抗</w:t>
      </w:r>
      <w:r>
        <w:t xml:space="preserve"> </w:t>
      </w:r>
      <w:r>
        <w:t>治疗，研究组（</w:t>
      </w:r>
      <w:r>
        <w:t>30</w:t>
      </w:r>
      <w:r>
        <w:t>例）给予微种植体支抗治疗。比较两组治疗前后头影测量项目及咀嚼功能变化，统计矫治时间及不良反应</w:t>
      </w:r>
      <w:r>
        <w:t xml:space="preserve"> </w:t>
      </w:r>
      <w:r>
        <w:t>发生情况。结果：治疗后</w:t>
      </w:r>
      <w:r>
        <w:t>6</w:t>
      </w:r>
      <w:r>
        <w:t>个月，研究组</w:t>
      </w:r>
      <w:r>
        <w:t>ANB</w:t>
      </w:r>
      <w:r>
        <w:t>角、</w:t>
      </w:r>
      <w:r>
        <w:t>U1-NA</w:t>
      </w:r>
      <w:r>
        <w:t>角、</w:t>
      </w:r>
      <w:r>
        <w:t>U1-NA</w:t>
      </w:r>
      <w:r>
        <w:t>、</w:t>
      </w:r>
      <w:r>
        <w:t>U1-X</w:t>
      </w:r>
      <w:r>
        <w:t>、</w:t>
      </w:r>
      <w:r>
        <w:t>U1-Y</w:t>
      </w:r>
      <w:r>
        <w:t>、</w:t>
      </w:r>
      <w:r>
        <w:t>A-Y</w:t>
      </w:r>
      <w:r>
        <w:t>、</w:t>
      </w:r>
      <w:r>
        <w:t>UL-Y</w:t>
      </w:r>
      <w:r>
        <w:t>、</w:t>
      </w:r>
      <w:r>
        <w:t>L1-Y</w:t>
      </w:r>
      <w:r>
        <w:t>低于对照组，鼻唇角、</w:t>
      </w:r>
      <w:r>
        <w:t xml:space="preserve">U1-L1 </w:t>
      </w:r>
      <w:r>
        <w:t>角高于对照组（</w:t>
      </w:r>
      <w:r>
        <w:t>P</w:t>
      </w:r>
      <w:r>
        <w:t>＜</w:t>
      </w:r>
      <w:r>
        <w:t>0.05</w:t>
      </w:r>
      <w:r>
        <w:t>）；研究组上切牙内收量（</w:t>
      </w:r>
      <w:r>
        <w:t>6.82±2.03</w:t>
      </w:r>
      <w:r>
        <w:t>）</w:t>
      </w:r>
      <w:r>
        <w:t>mm</w:t>
      </w:r>
      <w:r>
        <w:t>，高于对照组的（</w:t>
      </w:r>
      <w:r>
        <w:t>4.65±1.12</w:t>
      </w:r>
      <w:r>
        <w:t>）</w:t>
      </w:r>
      <w:r>
        <w:t>mm</w:t>
      </w:r>
      <w:r>
        <w:t>（</w:t>
      </w:r>
      <w:r>
        <w:t>P</w:t>
      </w:r>
      <w:r>
        <w:t>＜</w:t>
      </w:r>
      <w:r>
        <w:t>0.05</w:t>
      </w:r>
      <w:r>
        <w:t>）。治疗后</w:t>
      </w:r>
      <w:r>
        <w:t xml:space="preserve">1 </w:t>
      </w:r>
      <w:r>
        <w:t>年，研究组牙齿咬合力、咀嚼效率高于对照组（</w:t>
      </w:r>
      <w:r>
        <w:t>P</w:t>
      </w:r>
      <w:r>
        <w:t>＜</w:t>
      </w:r>
      <w:r>
        <w:t>0.05</w:t>
      </w:r>
      <w:r>
        <w:t>）；治疗期间，研究组牙齿排齐整平时间、拔牙间隙关闭时间及精细</w:t>
      </w:r>
      <w:r>
        <w:t xml:space="preserve"> </w:t>
      </w:r>
      <w:r>
        <w:t>调整时间短于对照组（</w:t>
      </w:r>
      <w:r>
        <w:t>P</w:t>
      </w:r>
      <w:r>
        <w:t>＜</w:t>
      </w:r>
      <w:r>
        <w:t>0.05</w:t>
      </w:r>
      <w:r>
        <w:t>）；研究组不良反应发生率为</w:t>
      </w:r>
      <w:r>
        <w:t>6.67%</w:t>
      </w:r>
      <w:r>
        <w:t>，低于对照组的</w:t>
      </w:r>
      <w:r>
        <w:t>26.67%</w:t>
      </w:r>
      <w:r>
        <w:t>（</w:t>
      </w:r>
      <w:r>
        <w:t>P</w:t>
      </w:r>
      <w:r>
        <w:t>＜</w:t>
      </w:r>
      <w:r>
        <w:t>0.05</w:t>
      </w:r>
      <w:r>
        <w:t>）。结论：微种植体支抗</w:t>
      </w:r>
      <w:r>
        <w:t xml:space="preserve"> </w:t>
      </w:r>
      <w:r>
        <w:t>对安氏</w:t>
      </w:r>
      <w:r>
        <w:rPr>
          <w:rFonts w:ascii="宋体" w:hAnsi="宋体" w:cs="宋体" w:hint="eastAsia"/>
        </w:rPr>
        <w:t>Ⅰ</w:t>
      </w:r>
      <w:r>
        <w:t>类及</w:t>
      </w:r>
      <w:r>
        <w:rPr>
          <w:rFonts w:ascii="宋体" w:hAnsi="宋体" w:cs="宋体" w:hint="eastAsia"/>
        </w:rPr>
        <w:t>Ⅱ</w:t>
      </w:r>
      <w:r>
        <w:t>类上颌前突青少年患者有较好矫治效果，能促进前牙内收，改善咀嚼功能，且矫治时间短，不良反应少。</w:t>
      </w:r>
      <w:r>
        <w:t xml:space="preserve"> [</w:t>
      </w:r>
      <w:r>
        <w:t>关键词</w:t>
      </w:r>
      <w:r>
        <w:t>]</w:t>
      </w:r>
      <w:r>
        <w:t>安氏</w:t>
      </w:r>
      <w:r>
        <w:rPr>
          <w:rFonts w:ascii="宋体" w:hAnsi="宋体" w:cs="宋体" w:hint="eastAsia"/>
        </w:rPr>
        <w:t>Ⅰ</w:t>
      </w:r>
      <w:r>
        <w:t>类；安氏</w:t>
      </w:r>
      <w:r>
        <w:rPr>
          <w:rFonts w:ascii="宋体" w:hAnsi="宋体" w:cs="宋体" w:hint="eastAsia"/>
        </w:rPr>
        <w:t>Ⅱ</w:t>
      </w:r>
      <w:r>
        <w:t>类；上颌前突；青少年；微种植体支抗</w:t>
      </w:r>
      <w:r>
        <w:t xml:space="preserve"> [</w:t>
      </w:r>
      <w:r>
        <w:t>中图分类号</w:t>
      </w:r>
      <w:r>
        <w:t>]R783.9 [</w:t>
      </w:r>
      <w:r>
        <w:t>文献标志码</w:t>
      </w:r>
      <w:r>
        <w:t>]A [</w:t>
      </w:r>
      <w:r>
        <w:t>文章编号</w:t>
      </w:r>
      <w:r>
        <w:t>]1008-6455</w:t>
      </w:r>
      <w:r>
        <w:t>（</w:t>
      </w:r>
      <w:r>
        <w:t>2024</w:t>
      </w:r>
      <w:r>
        <w:t>）</w:t>
      </w:r>
      <w:r>
        <w:t xml:space="preserve">02-0098-04 Analysis of the Effect of Micro-implant Anchorage on the Treatment of Class </w:t>
      </w:r>
      <w:r>
        <w:rPr>
          <w:rFonts w:ascii="宋体" w:hAnsi="宋体" w:cs="宋体" w:hint="eastAsia"/>
        </w:rPr>
        <w:t>Ⅰ</w:t>
      </w:r>
      <w:r>
        <w:t xml:space="preserve"> and Class </w:t>
      </w:r>
      <w:r>
        <w:rPr>
          <w:rFonts w:ascii="宋体" w:hAnsi="宋体" w:cs="宋体" w:hint="eastAsia"/>
        </w:rPr>
        <w:t>Ⅱ</w:t>
      </w:r>
      <w:r>
        <w:t xml:space="preserve"> Maxillary Protrusion in Teenagers Patients LI Maoliang1 ,XU Long2 ,WANG Yao3 ,LI Yangyang4 (1.Department of Orthodontics, 2.Department of Surgery, 3.Department of Dentistry and Dental Pulp, 4.Department of </w:t>
      </w:r>
      <w:proofErr w:type="spellStart"/>
      <w:r>
        <w:t>Periodontics,Shanghai</w:t>
      </w:r>
      <w:proofErr w:type="spellEnd"/>
      <w:r>
        <w:t xml:space="preserve"> Jinshan Dental Prevention </w:t>
      </w:r>
      <w:proofErr w:type="spellStart"/>
      <w:r>
        <w:t>Institute,Shanghai</w:t>
      </w:r>
      <w:proofErr w:type="spellEnd"/>
      <w:r>
        <w:t xml:space="preserve"> 200540,China) Abstract: Objective To investigate the eff </w:t>
      </w:r>
      <w:proofErr w:type="spellStart"/>
      <w:r>
        <w:t>ect</w:t>
      </w:r>
      <w:proofErr w:type="spellEnd"/>
      <w:r>
        <w:t xml:space="preserve"> of micro-implant anchorage on the treatment of Class </w:t>
      </w:r>
      <w:r>
        <w:rPr>
          <w:rFonts w:ascii="宋体" w:hAnsi="宋体" w:cs="宋体" w:hint="eastAsia"/>
        </w:rPr>
        <w:t>Ⅰ</w:t>
      </w:r>
      <w:r>
        <w:t xml:space="preserve"> and Class </w:t>
      </w:r>
      <w:r>
        <w:rPr>
          <w:rFonts w:ascii="宋体" w:hAnsi="宋体" w:cs="宋体" w:hint="eastAsia"/>
        </w:rPr>
        <w:t>Ⅱ</w:t>
      </w:r>
      <w:r>
        <w:t xml:space="preserve"> maxillary protrusion in teenagers patients. Methods The clinical data of 60 young patients with Class </w:t>
      </w:r>
      <w:r>
        <w:rPr>
          <w:rFonts w:ascii="宋体" w:hAnsi="宋体" w:cs="宋体" w:hint="eastAsia"/>
        </w:rPr>
        <w:t>Ⅰ</w:t>
      </w:r>
      <w:r>
        <w:t xml:space="preserve"> and Class </w:t>
      </w:r>
      <w:r>
        <w:rPr>
          <w:rFonts w:ascii="宋体" w:hAnsi="宋体" w:cs="宋体" w:hint="eastAsia"/>
        </w:rPr>
        <w:t>Ⅱ</w:t>
      </w:r>
      <w:r>
        <w:t xml:space="preserve"> maxillary protrusion in author</w:t>
      </w:r>
      <w:proofErr w:type="gramStart"/>
      <w:r>
        <w:rPr>
          <w:rFonts w:cs="Calibri"/>
        </w:rPr>
        <w:t>’</w:t>
      </w:r>
      <w:proofErr w:type="gramEnd"/>
      <w:r>
        <w:t>s hospital from June 2019 to January 2022 were retrospectively analyzed. Grouped by treatment type: The control group (30 cases) received traditional anchorage therapy, and the study group (30 cases) received micro-implant anchorage therapy. The changes of cephalic imaging and masticatory function before and after treatment were compared between the two groups. The time of treatment and the occurrence of adverse reactions were statistically analyzed. Results Six months after surgery, the ANB Angle, U1-NA Angle, U1-NA, U1-X, U1-Y, A-Y, UL-Y and L1-Y of the study group were lower than those of the control group, while the nasolabial Angle and U1-L1 Angle of the study group were higher than those of the control group (P</w:t>
      </w:r>
      <w:r>
        <w:t>＜</w:t>
      </w:r>
      <w:r>
        <w:t>0.05). The adduction volume of upper incisor teeth in the study group was (6.82±2.03) mm, which was higher than that in the control group (4.65±1.12) mm (P</w:t>
      </w:r>
      <w:r>
        <w:t>＜</w:t>
      </w:r>
      <w:r>
        <w:t xml:space="preserve">0.05). One year after surgery, the biting force and masticatory </w:t>
      </w:r>
      <w:proofErr w:type="spellStart"/>
      <w:r>
        <w:t>effi</w:t>
      </w:r>
      <w:proofErr w:type="spellEnd"/>
      <w:r>
        <w:t xml:space="preserve"> </w:t>
      </w:r>
      <w:proofErr w:type="spellStart"/>
      <w:r>
        <w:t>ciency</w:t>
      </w:r>
      <w:proofErr w:type="spellEnd"/>
      <w:r>
        <w:t xml:space="preserve"> of the research group were higher than those of the control group (P</w:t>
      </w:r>
      <w:r>
        <w:t>＜</w:t>
      </w:r>
      <w:r>
        <w:t>0.05). The teeth leveling time, extraction space closing time and fi ne adjustment time of the study group were shorter than those of the control group during treatment (P</w:t>
      </w:r>
      <w:r>
        <w:t>＜</w:t>
      </w:r>
      <w:r>
        <w:t>0.05). The incidence of adverse reactions in the study group was 6.67%, which was lower than that in the control group 26.67%(P</w:t>
      </w:r>
      <w:r>
        <w:t>＜</w:t>
      </w:r>
      <w:r>
        <w:t xml:space="preserve">0.05). Conclusion Micro-implant anchorage has a better therapeutic eff </w:t>
      </w:r>
      <w:proofErr w:type="spellStart"/>
      <w:r>
        <w:t>ect</w:t>
      </w:r>
      <w:proofErr w:type="spellEnd"/>
      <w:r>
        <w:t xml:space="preserve"> on the adolescent patients with Class </w:t>
      </w:r>
      <w:r>
        <w:rPr>
          <w:rFonts w:ascii="宋体" w:hAnsi="宋体" w:cs="宋体" w:hint="eastAsia"/>
        </w:rPr>
        <w:t>Ⅰ</w:t>
      </w:r>
      <w:r>
        <w:t xml:space="preserve"> and Class </w:t>
      </w:r>
      <w:r>
        <w:rPr>
          <w:rFonts w:ascii="宋体" w:hAnsi="宋体" w:cs="宋体" w:hint="eastAsia"/>
        </w:rPr>
        <w:t>Ⅱ</w:t>
      </w:r>
      <w:r>
        <w:t xml:space="preserve"> maxillary protrusion, which can promote anterior adduction, improve mastication function, and the treatment time is short with less adverse reactions. </w:t>
      </w:r>
    </w:p>
    <w:p w14:paraId="66860645" w14:textId="77777777" w:rsidR="003D6EBF" w:rsidRDefault="003D6EBF" w:rsidP="003D6EBF"/>
    <w:p w14:paraId="4CAF2A09" w14:textId="733C2C8D" w:rsidR="006052F8" w:rsidRPr="003D6EBF" w:rsidRDefault="003D6EBF" w:rsidP="003D6EBF">
      <w:r>
        <w:lastRenderedPageBreak/>
        <w:t xml:space="preserve">Key words: Class </w:t>
      </w:r>
      <w:r>
        <w:rPr>
          <w:rFonts w:ascii="宋体" w:hAnsi="宋体" w:cs="宋体" w:hint="eastAsia"/>
        </w:rPr>
        <w:t>Ⅰ</w:t>
      </w:r>
      <w:r>
        <w:t xml:space="preserve">; Class </w:t>
      </w:r>
      <w:r>
        <w:rPr>
          <w:rFonts w:ascii="宋体" w:hAnsi="宋体" w:cs="宋体" w:hint="eastAsia"/>
        </w:rPr>
        <w:t>Ⅱ</w:t>
      </w:r>
      <w:r>
        <w:t>; maxillary protrusion; teenagers; micro-implant anchorage</w:t>
      </w:r>
    </w:p>
    <w:sectPr w:rsidR="006052F8" w:rsidRPr="003D6EB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1D21A" w14:textId="77777777" w:rsidR="00D555AF" w:rsidRDefault="00D555AF" w:rsidP="003724AB">
      <w:r>
        <w:separator/>
      </w:r>
    </w:p>
  </w:endnote>
  <w:endnote w:type="continuationSeparator" w:id="0">
    <w:p w14:paraId="5EBB139B" w14:textId="77777777" w:rsidR="00D555AF" w:rsidRDefault="00D555AF"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3519E8E4-FB5C-4456-9E5A-1BE4BAC6375E}"/>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BD153" w14:textId="77777777" w:rsidR="00D555AF" w:rsidRDefault="00D555AF" w:rsidP="003724AB">
      <w:r>
        <w:separator/>
      </w:r>
    </w:p>
  </w:footnote>
  <w:footnote w:type="continuationSeparator" w:id="0">
    <w:p w14:paraId="5ADCCAA9" w14:textId="77777777" w:rsidR="00D555AF" w:rsidRDefault="00D555AF"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5838"/>
    <w:rsid w:val="000A75C8"/>
    <w:rsid w:val="000A7C4F"/>
    <w:rsid w:val="000B1F56"/>
    <w:rsid w:val="000B3CB3"/>
    <w:rsid w:val="000B4D7D"/>
    <w:rsid w:val="000B6B01"/>
    <w:rsid w:val="000C0187"/>
    <w:rsid w:val="000C108F"/>
    <w:rsid w:val="000C2277"/>
    <w:rsid w:val="000C2A37"/>
    <w:rsid w:val="000C2E28"/>
    <w:rsid w:val="000C7C37"/>
    <w:rsid w:val="000D1530"/>
    <w:rsid w:val="000D38A0"/>
    <w:rsid w:val="000D4D39"/>
    <w:rsid w:val="000D5F0A"/>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22A70"/>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61F39"/>
    <w:rsid w:val="00162D73"/>
    <w:rsid w:val="00164031"/>
    <w:rsid w:val="00167F26"/>
    <w:rsid w:val="001713E2"/>
    <w:rsid w:val="00173B80"/>
    <w:rsid w:val="00176A55"/>
    <w:rsid w:val="00180545"/>
    <w:rsid w:val="00180714"/>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2E4"/>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14B98"/>
    <w:rsid w:val="00220BCF"/>
    <w:rsid w:val="00225A90"/>
    <w:rsid w:val="00227991"/>
    <w:rsid w:val="002327A2"/>
    <w:rsid w:val="00232F23"/>
    <w:rsid w:val="00233F04"/>
    <w:rsid w:val="00244885"/>
    <w:rsid w:val="00245DE5"/>
    <w:rsid w:val="00251F95"/>
    <w:rsid w:val="00254A90"/>
    <w:rsid w:val="00255034"/>
    <w:rsid w:val="00263916"/>
    <w:rsid w:val="00266977"/>
    <w:rsid w:val="00275815"/>
    <w:rsid w:val="002773D8"/>
    <w:rsid w:val="00277E64"/>
    <w:rsid w:val="00282AC2"/>
    <w:rsid w:val="00282D2D"/>
    <w:rsid w:val="00285C8C"/>
    <w:rsid w:val="00286638"/>
    <w:rsid w:val="00287B90"/>
    <w:rsid w:val="002918D1"/>
    <w:rsid w:val="002923EA"/>
    <w:rsid w:val="00296617"/>
    <w:rsid w:val="002A01BB"/>
    <w:rsid w:val="002A0727"/>
    <w:rsid w:val="002A3A2D"/>
    <w:rsid w:val="002A3F06"/>
    <w:rsid w:val="002A426A"/>
    <w:rsid w:val="002A519F"/>
    <w:rsid w:val="002A61D7"/>
    <w:rsid w:val="002A6432"/>
    <w:rsid w:val="002A68AE"/>
    <w:rsid w:val="002A6D93"/>
    <w:rsid w:val="002B3F84"/>
    <w:rsid w:val="002B75D8"/>
    <w:rsid w:val="002C08FE"/>
    <w:rsid w:val="002C1136"/>
    <w:rsid w:val="002C1298"/>
    <w:rsid w:val="002C5187"/>
    <w:rsid w:val="002D506F"/>
    <w:rsid w:val="002D64FF"/>
    <w:rsid w:val="002E06E4"/>
    <w:rsid w:val="002E148A"/>
    <w:rsid w:val="002E45F6"/>
    <w:rsid w:val="002E7DEC"/>
    <w:rsid w:val="002F2E82"/>
    <w:rsid w:val="002F55F4"/>
    <w:rsid w:val="002F5EFD"/>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15D"/>
    <w:rsid w:val="00357132"/>
    <w:rsid w:val="00357383"/>
    <w:rsid w:val="003576DC"/>
    <w:rsid w:val="00367714"/>
    <w:rsid w:val="003724AB"/>
    <w:rsid w:val="003725D9"/>
    <w:rsid w:val="00372B47"/>
    <w:rsid w:val="00376064"/>
    <w:rsid w:val="003855F3"/>
    <w:rsid w:val="0038722C"/>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D6EBF"/>
    <w:rsid w:val="003E2239"/>
    <w:rsid w:val="003E507A"/>
    <w:rsid w:val="003E5D3D"/>
    <w:rsid w:val="003F036A"/>
    <w:rsid w:val="003F1FFB"/>
    <w:rsid w:val="003F23CE"/>
    <w:rsid w:val="003F48EE"/>
    <w:rsid w:val="003F4CAE"/>
    <w:rsid w:val="003F5B79"/>
    <w:rsid w:val="003F6618"/>
    <w:rsid w:val="003F7EE6"/>
    <w:rsid w:val="0040270F"/>
    <w:rsid w:val="00407A4A"/>
    <w:rsid w:val="004113CD"/>
    <w:rsid w:val="00411CA3"/>
    <w:rsid w:val="00412581"/>
    <w:rsid w:val="00414CCC"/>
    <w:rsid w:val="00415A9A"/>
    <w:rsid w:val="00415ED0"/>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711B3"/>
    <w:rsid w:val="0047158A"/>
    <w:rsid w:val="004725F9"/>
    <w:rsid w:val="00473D06"/>
    <w:rsid w:val="0047491C"/>
    <w:rsid w:val="004779A7"/>
    <w:rsid w:val="00481D99"/>
    <w:rsid w:val="00481E1B"/>
    <w:rsid w:val="0048417E"/>
    <w:rsid w:val="00487391"/>
    <w:rsid w:val="00490408"/>
    <w:rsid w:val="004915A9"/>
    <w:rsid w:val="00495448"/>
    <w:rsid w:val="0049573F"/>
    <w:rsid w:val="00495EDF"/>
    <w:rsid w:val="004A2AC0"/>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6586"/>
    <w:rsid w:val="0056047D"/>
    <w:rsid w:val="00560801"/>
    <w:rsid w:val="0056306C"/>
    <w:rsid w:val="005655F2"/>
    <w:rsid w:val="005659C6"/>
    <w:rsid w:val="0057638E"/>
    <w:rsid w:val="00577DF7"/>
    <w:rsid w:val="00581F11"/>
    <w:rsid w:val="00584D48"/>
    <w:rsid w:val="00591EB0"/>
    <w:rsid w:val="00592445"/>
    <w:rsid w:val="005955FA"/>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3F55"/>
    <w:rsid w:val="006052F8"/>
    <w:rsid w:val="00606409"/>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628C"/>
    <w:rsid w:val="00684D3A"/>
    <w:rsid w:val="006874B7"/>
    <w:rsid w:val="0069211E"/>
    <w:rsid w:val="006941B1"/>
    <w:rsid w:val="00694343"/>
    <w:rsid w:val="00697AEA"/>
    <w:rsid w:val="006A4A02"/>
    <w:rsid w:val="006A521A"/>
    <w:rsid w:val="006A5A08"/>
    <w:rsid w:val="006B0304"/>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5627"/>
    <w:rsid w:val="0071753F"/>
    <w:rsid w:val="0072049F"/>
    <w:rsid w:val="00721B70"/>
    <w:rsid w:val="00723B34"/>
    <w:rsid w:val="007255A4"/>
    <w:rsid w:val="00727B58"/>
    <w:rsid w:val="007300B2"/>
    <w:rsid w:val="00733B85"/>
    <w:rsid w:val="00733E1B"/>
    <w:rsid w:val="00736DB1"/>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1F7"/>
    <w:rsid w:val="00771AB2"/>
    <w:rsid w:val="00772E7E"/>
    <w:rsid w:val="00773CFC"/>
    <w:rsid w:val="007762C0"/>
    <w:rsid w:val="0078267B"/>
    <w:rsid w:val="007843FF"/>
    <w:rsid w:val="00796E83"/>
    <w:rsid w:val="007A3FAF"/>
    <w:rsid w:val="007A747F"/>
    <w:rsid w:val="007B0D87"/>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61D5"/>
    <w:rsid w:val="00807015"/>
    <w:rsid w:val="00813DC1"/>
    <w:rsid w:val="00817CC3"/>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7035A"/>
    <w:rsid w:val="008703AA"/>
    <w:rsid w:val="00871F9A"/>
    <w:rsid w:val="00873BFE"/>
    <w:rsid w:val="0087421A"/>
    <w:rsid w:val="00880659"/>
    <w:rsid w:val="0088203C"/>
    <w:rsid w:val="00882EF6"/>
    <w:rsid w:val="008844D5"/>
    <w:rsid w:val="00884825"/>
    <w:rsid w:val="008853BA"/>
    <w:rsid w:val="008906C5"/>
    <w:rsid w:val="00891457"/>
    <w:rsid w:val="008A02F2"/>
    <w:rsid w:val="008A0A08"/>
    <w:rsid w:val="008A3877"/>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6646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376B"/>
    <w:rsid w:val="009E4C1C"/>
    <w:rsid w:val="009E505C"/>
    <w:rsid w:val="009E53E9"/>
    <w:rsid w:val="009F02E1"/>
    <w:rsid w:val="009F073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155"/>
    <w:rsid w:val="00A33E6F"/>
    <w:rsid w:val="00A34A9E"/>
    <w:rsid w:val="00A353A0"/>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BDA"/>
    <w:rsid w:val="00A71FCC"/>
    <w:rsid w:val="00A821C3"/>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2F7"/>
    <w:rsid w:val="00AD48A0"/>
    <w:rsid w:val="00AD7C2D"/>
    <w:rsid w:val="00AE0F4A"/>
    <w:rsid w:val="00AE2938"/>
    <w:rsid w:val="00AE297F"/>
    <w:rsid w:val="00AF1877"/>
    <w:rsid w:val="00AF3935"/>
    <w:rsid w:val="00AF48FE"/>
    <w:rsid w:val="00AF727C"/>
    <w:rsid w:val="00B00FC8"/>
    <w:rsid w:val="00B114A0"/>
    <w:rsid w:val="00B157C6"/>
    <w:rsid w:val="00B20220"/>
    <w:rsid w:val="00B205A5"/>
    <w:rsid w:val="00B20E9B"/>
    <w:rsid w:val="00B22D7E"/>
    <w:rsid w:val="00B24EE5"/>
    <w:rsid w:val="00B25FB7"/>
    <w:rsid w:val="00B26738"/>
    <w:rsid w:val="00B26DEA"/>
    <w:rsid w:val="00B271C8"/>
    <w:rsid w:val="00B27F05"/>
    <w:rsid w:val="00B3206F"/>
    <w:rsid w:val="00B33EF3"/>
    <w:rsid w:val="00B3555B"/>
    <w:rsid w:val="00B37888"/>
    <w:rsid w:val="00B44B30"/>
    <w:rsid w:val="00B51139"/>
    <w:rsid w:val="00B51776"/>
    <w:rsid w:val="00B530E8"/>
    <w:rsid w:val="00B53D93"/>
    <w:rsid w:val="00B54750"/>
    <w:rsid w:val="00B54C60"/>
    <w:rsid w:val="00B55305"/>
    <w:rsid w:val="00B5763D"/>
    <w:rsid w:val="00B578E3"/>
    <w:rsid w:val="00B6108A"/>
    <w:rsid w:val="00B62384"/>
    <w:rsid w:val="00B623AF"/>
    <w:rsid w:val="00B63343"/>
    <w:rsid w:val="00B6449E"/>
    <w:rsid w:val="00B730F4"/>
    <w:rsid w:val="00B75808"/>
    <w:rsid w:val="00B7733A"/>
    <w:rsid w:val="00B779CB"/>
    <w:rsid w:val="00B81C68"/>
    <w:rsid w:val="00B82C65"/>
    <w:rsid w:val="00B8339A"/>
    <w:rsid w:val="00B847F0"/>
    <w:rsid w:val="00B8624E"/>
    <w:rsid w:val="00B933C7"/>
    <w:rsid w:val="00B93590"/>
    <w:rsid w:val="00B9586A"/>
    <w:rsid w:val="00B97854"/>
    <w:rsid w:val="00BA24F8"/>
    <w:rsid w:val="00BA2959"/>
    <w:rsid w:val="00BA2F9F"/>
    <w:rsid w:val="00BA30DF"/>
    <w:rsid w:val="00BA4D15"/>
    <w:rsid w:val="00BB30CE"/>
    <w:rsid w:val="00BB7BE3"/>
    <w:rsid w:val="00BB7F2C"/>
    <w:rsid w:val="00BC0131"/>
    <w:rsid w:val="00BC08C2"/>
    <w:rsid w:val="00BC2D8C"/>
    <w:rsid w:val="00BC51B2"/>
    <w:rsid w:val="00BC6C5A"/>
    <w:rsid w:val="00BD3E38"/>
    <w:rsid w:val="00BD68CB"/>
    <w:rsid w:val="00BD7BE5"/>
    <w:rsid w:val="00BE0EBF"/>
    <w:rsid w:val="00BE6792"/>
    <w:rsid w:val="00BE6E4B"/>
    <w:rsid w:val="00BF20C2"/>
    <w:rsid w:val="00C01821"/>
    <w:rsid w:val="00C02216"/>
    <w:rsid w:val="00C02C4F"/>
    <w:rsid w:val="00C138C0"/>
    <w:rsid w:val="00C1569D"/>
    <w:rsid w:val="00C16BAD"/>
    <w:rsid w:val="00C22FA9"/>
    <w:rsid w:val="00C242E0"/>
    <w:rsid w:val="00C24EEB"/>
    <w:rsid w:val="00C251AB"/>
    <w:rsid w:val="00C258DF"/>
    <w:rsid w:val="00C26390"/>
    <w:rsid w:val="00C320C2"/>
    <w:rsid w:val="00C323AD"/>
    <w:rsid w:val="00C35CCF"/>
    <w:rsid w:val="00C37116"/>
    <w:rsid w:val="00C37C5F"/>
    <w:rsid w:val="00C37F32"/>
    <w:rsid w:val="00C40B31"/>
    <w:rsid w:val="00C56FD9"/>
    <w:rsid w:val="00C639A2"/>
    <w:rsid w:val="00C660D0"/>
    <w:rsid w:val="00C66126"/>
    <w:rsid w:val="00C719E9"/>
    <w:rsid w:val="00C71D8B"/>
    <w:rsid w:val="00C73275"/>
    <w:rsid w:val="00C73552"/>
    <w:rsid w:val="00C7384A"/>
    <w:rsid w:val="00C73CAE"/>
    <w:rsid w:val="00C749A1"/>
    <w:rsid w:val="00C7514B"/>
    <w:rsid w:val="00C76AF7"/>
    <w:rsid w:val="00C80A45"/>
    <w:rsid w:val="00C8129B"/>
    <w:rsid w:val="00C8426F"/>
    <w:rsid w:val="00C90C4C"/>
    <w:rsid w:val="00C97D14"/>
    <w:rsid w:val="00C97DFC"/>
    <w:rsid w:val="00CA036E"/>
    <w:rsid w:val="00CA369C"/>
    <w:rsid w:val="00CA71B7"/>
    <w:rsid w:val="00CC0170"/>
    <w:rsid w:val="00CC3324"/>
    <w:rsid w:val="00CC3F66"/>
    <w:rsid w:val="00CC413B"/>
    <w:rsid w:val="00CC68A3"/>
    <w:rsid w:val="00CD2DDD"/>
    <w:rsid w:val="00CD5FCF"/>
    <w:rsid w:val="00CD666E"/>
    <w:rsid w:val="00CD68A4"/>
    <w:rsid w:val="00CE0EEC"/>
    <w:rsid w:val="00CE27A2"/>
    <w:rsid w:val="00CE56EB"/>
    <w:rsid w:val="00CE7196"/>
    <w:rsid w:val="00CE7426"/>
    <w:rsid w:val="00CE7656"/>
    <w:rsid w:val="00CF1F67"/>
    <w:rsid w:val="00CF3056"/>
    <w:rsid w:val="00CF4352"/>
    <w:rsid w:val="00CF4706"/>
    <w:rsid w:val="00CF47E7"/>
    <w:rsid w:val="00D01559"/>
    <w:rsid w:val="00D069B8"/>
    <w:rsid w:val="00D11883"/>
    <w:rsid w:val="00D11B2C"/>
    <w:rsid w:val="00D17F93"/>
    <w:rsid w:val="00D33D64"/>
    <w:rsid w:val="00D349EA"/>
    <w:rsid w:val="00D3667B"/>
    <w:rsid w:val="00D41BFF"/>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8F3"/>
    <w:rsid w:val="00DD3ABA"/>
    <w:rsid w:val="00DD4EC9"/>
    <w:rsid w:val="00DD538C"/>
    <w:rsid w:val="00DE0195"/>
    <w:rsid w:val="00DE62FE"/>
    <w:rsid w:val="00DF1825"/>
    <w:rsid w:val="00DF3111"/>
    <w:rsid w:val="00DF6114"/>
    <w:rsid w:val="00DF7169"/>
    <w:rsid w:val="00E00A1C"/>
    <w:rsid w:val="00E04F11"/>
    <w:rsid w:val="00E054E5"/>
    <w:rsid w:val="00E05EE3"/>
    <w:rsid w:val="00E0732F"/>
    <w:rsid w:val="00E07BDE"/>
    <w:rsid w:val="00E11414"/>
    <w:rsid w:val="00E116E9"/>
    <w:rsid w:val="00E12AD1"/>
    <w:rsid w:val="00E12FAC"/>
    <w:rsid w:val="00E17ED0"/>
    <w:rsid w:val="00E21237"/>
    <w:rsid w:val="00E21D7D"/>
    <w:rsid w:val="00E23773"/>
    <w:rsid w:val="00E24841"/>
    <w:rsid w:val="00E25029"/>
    <w:rsid w:val="00E2737B"/>
    <w:rsid w:val="00E32280"/>
    <w:rsid w:val="00E36667"/>
    <w:rsid w:val="00E429CD"/>
    <w:rsid w:val="00E4372C"/>
    <w:rsid w:val="00E439E8"/>
    <w:rsid w:val="00E46DE5"/>
    <w:rsid w:val="00E5222B"/>
    <w:rsid w:val="00E52257"/>
    <w:rsid w:val="00E60764"/>
    <w:rsid w:val="00E64246"/>
    <w:rsid w:val="00E64590"/>
    <w:rsid w:val="00E64659"/>
    <w:rsid w:val="00E6550E"/>
    <w:rsid w:val="00E67009"/>
    <w:rsid w:val="00E737AB"/>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04021"/>
    <w:rsid w:val="00F14429"/>
    <w:rsid w:val="00F16062"/>
    <w:rsid w:val="00F1612C"/>
    <w:rsid w:val="00F20420"/>
    <w:rsid w:val="00F21F00"/>
    <w:rsid w:val="00F22F9D"/>
    <w:rsid w:val="00F23ADA"/>
    <w:rsid w:val="00F24E34"/>
    <w:rsid w:val="00F27E19"/>
    <w:rsid w:val="00F31281"/>
    <w:rsid w:val="00F3189B"/>
    <w:rsid w:val="00F31AB6"/>
    <w:rsid w:val="00F33AEE"/>
    <w:rsid w:val="00F421E0"/>
    <w:rsid w:val="00F4251C"/>
    <w:rsid w:val="00F4457C"/>
    <w:rsid w:val="00F46C7A"/>
    <w:rsid w:val="00F5119C"/>
    <w:rsid w:val="00F51219"/>
    <w:rsid w:val="00F52341"/>
    <w:rsid w:val="00F53310"/>
    <w:rsid w:val="00F56281"/>
    <w:rsid w:val="00F57FBB"/>
    <w:rsid w:val="00F65BF2"/>
    <w:rsid w:val="00F65F58"/>
    <w:rsid w:val="00F70596"/>
    <w:rsid w:val="00F73723"/>
    <w:rsid w:val="00F7681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19340</TotalTime>
  <Pages>2</Pages>
  <Words>451</Words>
  <Characters>2573</Characters>
  <Application>Microsoft Office Word</Application>
  <DocSecurity>0</DocSecurity>
  <Lines>21</Lines>
  <Paragraphs>6</Paragraphs>
  <ScaleCrop>false</ScaleCrop>
  <Company/>
  <LinksUpToDate>false</LinksUpToDate>
  <CharactersWithSpaces>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2534</cp:revision>
  <dcterms:created xsi:type="dcterms:W3CDTF">2022-07-04T07:48:00Z</dcterms:created>
  <dcterms:modified xsi:type="dcterms:W3CDTF">2024-02-22T09:00:00Z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