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6CE8C" w14:textId="77777777" w:rsidR="004038F0" w:rsidRDefault="004038F0" w:rsidP="004038F0">
      <w:r>
        <w:t>骨皮质切开术辅助正畸治疗骨性</w:t>
      </w:r>
      <w:r>
        <w:rPr>
          <w:rFonts w:ascii="宋体" w:hAnsi="宋体" w:cs="宋体" w:hint="eastAsia"/>
        </w:rPr>
        <w:t>Ⅲ</w:t>
      </w:r>
      <w:proofErr w:type="gramStart"/>
      <w:r>
        <w:t>类错牙</w:t>
      </w:r>
      <w:proofErr w:type="gramEnd"/>
      <w:r>
        <w:t>合畸形的稳定性分析</w:t>
      </w:r>
      <w:r>
        <w:t xml:space="preserve"> </w:t>
      </w:r>
    </w:p>
    <w:p w14:paraId="6DE59A8A" w14:textId="77777777" w:rsidR="004038F0" w:rsidRDefault="004038F0" w:rsidP="004038F0"/>
    <w:p w14:paraId="2780DC3C" w14:textId="77777777" w:rsidR="004038F0" w:rsidRDefault="004038F0" w:rsidP="004038F0">
      <w:proofErr w:type="gramStart"/>
      <w:r>
        <w:t>卢</w:t>
      </w:r>
      <w:proofErr w:type="gramEnd"/>
      <w:r>
        <w:t xml:space="preserve"> </w:t>
      </w:r>
      <w:r>
        <w:t>欣</w:t>
      </w:r>
      <w:r>
        <w:t xml:space="preserve">1 </w:t>
      </w:r>
      <w:r>
        <w:t>，杜</w:t>
      </w:r>
      <w:r>
        <w:t xml:space="preserve"> </w:t>
      </w:r>
      <w:proofErr w:type="gramStart"/>
      <w:r>
        <w:t>娟</w:t>
      </w:r>
      <w:proofErr w:type="gramEnd"/>
      <w:r>
        <w:t xml:space="preserve">2 </w:t>
      </w:r>
      <w:r>
        <w:t>，高秀峰</w:t>
      </w:r>
      <w:r>
        <w:t xml:space="preserve">3 </w:t>
      </w:r>
    </w:p>
    <w:p w14:paraId="75E86BD0" w14:textId="77777777" w:rsidR="004038F0" w:rsidRDefault="004038F0" w:rsidP="004038F0"/>
    <w:p w14:paraId="23B67048" w14:textId="158DA465" w:rsidR="004038F0" w:rsidRDefault="004038F0" w:rsidP="004038F0">
      <w:r>
        <w:t>（张家口市口腔医院</w:t>
      </w:r>
      <w:r>
        <w:t>1.</w:t>
      </w:r>
      <w:r>
        <w:t>牙周科；</w:t>
      </w:r>
      <w:r>
        <w:t>2.</w:t>
      </w:r>
      <w:r>
        <w:t>皮肤科；</w:t>
      </w:r>
      <w:r>
        <w:t>3.</w:t>
      </w:r>
      <w:r>
        <w:t>急诊综合科</w:t>
      </w:r>
      <w:r>
        <w:t xml:space="preserve"> </w:t>
      </w:r>
      <w:r>
        <w:t>河北</w:t>
      </w:r>
      <w:r>
        <w:t xml:space="preserve"> </w:t>
      </w:r>
      <w:r>
        <w:t>张家口</w:t>
      </w:r>
      <w:r>
        <w:t xml:space="preserve"> 075001</w:t>
      </w:r>
      <w:r>
        <w:t>）</w:t>
      </w:r>
      <w:r>
        <w:t xml:space="preserve"> </w:t>
      </w:r>
    </w:p>
    <w:p w14:paraId="3A18324D" w14:textId="77777777" w:rsidR="004038F0" w:rsidRDefault="004038F0" w:rsidP="004038F0"/>
    <w:p w14:paraId="06D3C13C" w14:textId="77777777" w:rsidR="004038F0" w:rsidRDefault="004038F0" w:rsidP="004038F0">
      <w:r>
        <w:t>[</w:t>
      </w:r>
      <w:r>
        <w:t>摘要</w:t>
      </w:r>
      <w:r>
        <w:t>]</w:t>
      </w:r>
      <w:r>
        <w:t>目的：探讨骨性</w:t>
      </w:r>
      <w:r>
        <w:rPr>
          <w:rFonts w:ascii="宋体" w:hAnsi="宋体" w:cs="宋体" w:hint="eastAsia"/>
        </w:rPr>
        <w:t>Ⅲ</w:t>
      </w:r>
      <w:proofErr w:type="gramStart"/>
      <w:r>
        <w:t>类错牙</w:t>
      </w:r>
      <w:proofErr w:type="gramEnd"/>
      <w:r>
        <w:t>合畸形患者采用骨皮质切开术辅助正畸治疗的稳定性。方法：选取张家口市口腔医院</w:t>
      </w:r>
      <w:r>
        <w:t>2017</w:t>
      </w:r>
      <w:r>
        <w:t>年</w:t>
      </w:r>
      <w:r>
        <w:t xml:space="preserve">1 </w:t>
      </w:r>
      <w:r>
        <w:t>月</w:t>
      </w:r>
      <w:r>
        <w:t>-2018</w:t>
      </w:r>
      <w:r>
        <w:t>年</w:t>
      </w:r>
      <w:r>
        <w:t>1</w:t>
      </w:r>
      <w:r>
        <w:t>月收治的</w:t>
      </w:r>
      <w:r>
        <w:t>98</w:t>
      </w:r>
      <w:proofErr w:type="gramStart"/>
      <w:r>
        <w:t>例骨性</w:t>
      </w:r>
      <w:proofErr w:type="gramEnd"/>
      <w:r>
        <w:rPr>
          <w:rFonts w:ascii="宋体" w:hAnsi="宋体" w:cs="宋体" w:hint="eastAsia"/>
        </w:rPr>
        <w:t>Ⅲ</w:t>
      </w:r>
      <w:proofErr w:type="gramStart"/>
      <w:r>
        <w:t>类错牙</w:t>
      </w:r>
      <w:proofErr w:type="gramEnd"/>
      <w:r>
        <w:t>合畸形患者为研究对象，采用随机数字法将其分为对照组</w:t>
      </w:r>
      <w:r>
        <w:t>(n=48)</w:t>
      </w:r>
      <w:r>
        <w:t>和观察组</w:t>
      </w:r>
      <w:r>
        <w:t>(n=50)</w:t>
      </w:r>
      <w:r>
        <w:t>，对照</w:t>
      </w:r>
      <w:r>
        <w:t xml:space="preserve"> </w:t>
      </w:r>
      <w:proofErr w:type="gramStart"/>
      <w:r>
        <w:t>组行常规</w:t>
      </w:r>
      <w:proofErr w:type="gramEnd"/>
      <w:r>
        <w:t>正畸治疗，在此基础上，观察</w:t>
      </w:r>
      <w:proofErr w:type="gramStart"/>
      <w:r>
        <w:t>组加以</w:t>
      </w:r>
      <w:proofErr w:type="gramEnd"/>
      <w:r>
        <w:t>骨皮质切开术治疗，比较两组患者正畸时间、</w:t>
      </w:r>
      <w:proofErr w:type="gramStart"/>
      <w:r>
        <w:t>矢状方向</w:t>
      </w:r>
      <w:proofErr w:type="gramEnd"/>
      <w:r>
        <w:t>牙齿移动距离，以及两</w:t>
      </w:r>
      <w:r>
        <w:t xml:space="preserve"> </w:t>
      </w:r>
      <w:r>
        <w:t>组患者治疗前后角化</w:t>
      </w:r>
      <w:proofErr w:type="gramStart"/>
      <w:r>
        <w:t>龈</w:t>
      </w:r>
      <w:proofErr w:type="gramEnd"/>
      <w:r>
        <w:t>宽度、牙位置、硬组织及软组织变化。结果：观察组的排齐时间、关闭间隙时间及总时间均明显短于</w:t>
      </w:r>
      <w:r>
        <w:t xml:space="preserve"> </w:t>
      </w:r>
      <w:r>
        <w:t>对照组</w:t>
      </w:r>
      <w:r>
        <w:t>(P</w:t>
      </w:r>
      <w:r>
        <w:t>＜</w:t>
      </w:r>
      <w:r>
        <w:t>0.05)</w:t>
      </w:r>
      <w:r>
        <w:t>；观察组的上颌中切牙</w:t>
      </w:r>
      <w:proofErr w:type="gramStart"/>
      <w:r>
        <w:t>矢状方向</w:t>
      </w:r>
      <w:proofErr w:type="gramEnd"/>
      <w:r>
        <w:t>移动距离、上颌第一磨牙</w:t>
      </w:r>
      <w:proofErr w:type="gramStart"/>
      <w:r>
        <w:t>矢状方向</w:t>
      </w:r>
      <w:proofErr w:type="gramEnd"/>
      <w:r>
        <w:t>移动距离均明显短于对照组</w:t>
      </w:r>
      <w:r>
        <w:t>(P</w:t>
      </w:r>
      <w:r>
        <w:t>＜</w:t>
      </w:r>
      <w:r>
        <w:t>0.05)</w:t>
      </w:r>
      <w:r>
        <w:t>；</w:t>
      </w:r>
      <w:r>
        <w:t xml:space="preserve"> </w:t>
      </w:r>
      <w:r>
        <w:t>两组治疗后角化</w:t>
      </w:r>
      <w:proofErr w:type="gramStart"/>
      <w:r>
        <w:t>龈</w:t>
      </w:r>
      <w:proofErr w:type="gramEnd"/>
      <w:r>
        <w:t>宽度逐渐增加，治疗后</w:t>
      </w:r>
      <w:r>
        <w:t>1</w:t>
      </w:r>
      <w:r>
        <w:t>周最宽，随后逐渐降低，治疗后</w:t>
      </w:r>
      <w:r>
        <w:t>8</w:t>
      </w:r>
      <w:r>
        <w:t>周恢复至治疗前水平，不同时点间比较差异有统</w:t>
      </w:r>
      <w:r>
        <w:t xml:space="preserve"> </w:t>
      </w:r>
      <w:r>
        <w:t>计学意义</w:t>
      </w:r>
      <w:r>
        <w:t>(P</w:t>
      </w:r>
      <w:r>
        <w:t>＜</w:t>
      </w:r>
      <w:r>
        <w:t>0.05)</w:t>
      </w:r>
      <w:r>
        <w:t>，组间比较差异无统计学意义</w:t>
      </w:r>
      <w:r>
        <w:t>(P</w:t>
      </w:r>
      <w:r>
        <w:t>＞</w:t>
      </w:r>
      <w:r>
        <w:t>0.05)</w:t>
      </w:r>
      <w:r>
        <w:t>；治疗后</w:t>
      </w:r>
      <w:r>
        <w:t>1</w:t>
      </w:r>
      <w:r>
        <w:t>年，观察组的</w:t>
      </w:r>
      <w:proofErr w:type="gramStart"/>
      <w:r>
        <w:t>牙位置</w:t>
      </w:r>
      <w:proofErr w:type="gramEnd"/>
      <w:r>
        <w:t>指标</w:t>
      </w:r>
      <w:r>
        <w:t>(U1I-CP</w:t>
      </w:r>
      <w:r>
        <w:t>、</w:t>
      </w:r>
      <w:r>
        <w:t>U1R-CP)</w:t>
      </w:r>
      <w:r>
        <w:t>均明显大</w:t>
      </w:r>
      <w:r>
        <w:t xml:space="preserve"> </w:t>
      </w:r>
      <w:r>
        <w:t>于对照组</w:t>
      </w:r>
      <w:r>
        <w:t>(P</w:t>
      </w:r>
      <w:r>
        <w:t>＜</w:t>
      </w:r>
      <w:r>
        <w:t>0.05)</w:t>
      </w:r>
      <w:r>
        <w:t>；治疗后，观察组的硬组织指标</w:t>
      </w:r>
      <w:r>
        <w:t>(SNA</w:t>
      </w:r>
      <w:r>
        <w:t>、</w:t>
      </w:r>
      <w:r>
        <w:t>UARA</w:t>
      </w:r>
      <w:r>
        <w:t>、</w:t>
      </w:r>
      <w:r>
        <w:t>Sd-CP)</w:t>
      </w:r>
      <w:r>
        <w:t>均明显大于对照组</w:t>
      </w:r>
      <w:r>
        <w:t>(P</w:t>
      </w:r>
      <w:r>
        <w:t>＜</w:t>
      </w:r>
      <w:r>
        <w:t>0.05)</w:t>
      </w:r>
      <w:r>
        <w:t>；治疗后</w:t>
      </w:r>
      <w:r>
        <w:t>1</w:t>
      </w:r>
      <w:r>
        <w:t>年，观察组</w:t>
      </w:r>
      <w:r>
        <w:t xml:space="preserve"> </w:t>
      </w:r>
      <w:r>
        <w:t>软组织指标</w:t>
      </w:r>
      <w:r>
        <w:t>(Ls-HP</w:t>
      </w:r>
      <w:r>
        <w:t>、</w:t>
      </w:r>
      <w:r>
        <w:t>Ls-CP</w:t>
      </w:r>
      <w:r>
        <w:t>、</w:t>
      </w:r>
      <w:r>
        <w:t>NLA)</w:t>
      </w:r>
      <w:r>
        <w:t>均明显大于对照组</w:t>
      </w:r>
      <w:r>
        <w:t>(P</w:t>
      </w:r>
      <w:r>
        <w:t>＜</w:t>
      </w:r>
      <w:r>
        <w:t>0.05)</w:t>
      </w:r>
      <w:r>
        <w:t>。结论：骨性</w:t>
      </w:r>
      <w:r>
        <w:rPr>
          <w:rFonts w:ascii="宋体" w:hAnsi="宋体" w:cs="宋体" w:hint="eastAsia"/>
        </w:rPr>
        <w:t>Ⅲ</w:t>
      </w:r>
      <w:proofErr w:type="gramStart"/>
      <w:r>
        <w:t>类错牙合患者</w:t>
      </w:r>
      <w:proofErr w:type="gramEnd"/>
      <w:r>
        <w:t>采用骨皮质切开术辅助正畸治疗稳</w:t>
      </w:r>
      <w:r>
        <w:t xml:space="preserve"> </w:t>
      </w:r>
      <w:r>
        <w:t>定性明显提升，疗效增强，治疗后恢复快，安全性较高，值得临床推广。</w:t>
      </w:r>
      <w:r>
        <w:t xml:space="preserve"> </w:t>
      </w:r>
    </w:p>
    <w:p w14:paraId="5A7FAACA" w14:textId="77777777" w:rsidR="004038F0" w:rsidRDefault="004038F0" w:rsidP="004038F0"/>
    <w:p w14:paraId="09342A0D" w14:textId="77777777" w:rsidR="004038F0" w:rsidRDefault="004038F0" w:rsidP="004038F0">
      <w:r>
        <w:t>[</w:t>
      </w:r>
      <w:r>
        <w:t>关键词</w:t>
      </w:r>
      <w:r>
        <w:t>]</w:t>
      </w:r>
      <w:r>
        <w:t>骨性</w:t>
      </w:r>
      <w:r>
        <w:rPr>
          <w:rFonts w:ascii="宋体" w:hAnsi="宋体" w:cs="宋体" w:hint="eastAsia"/>
        </w:rPr>
        <w:t>Ⅲ</w:t>
      </w:r>
      <w:proofErr w:type="gramStart"/>
      <w:r>
        <w:t>类错牙</w:t>
      </w:r>
      <w:proofErr w:type="gramEnd"/>
      <w:r>
        <w:t>合畸形；骨皮质切开术；正畸；牙位置；稳定性</w:t>
      </w:r>
      <w:r>
        <w:t xml:space="preserve"> </w:t>
      </w:r>
    </w:p>
    <w:p w14:paraId="2D1ED3ED" w14:textId="77777777" w:rsidR="004038F0" w:rsidRDefault="004038F0" w:rsidP="004038F0"/>
    <w:p w14:paraId="45BEFA88" w14:textId="77777777" w:rsidR="004038F0" w:rsidRDefault="004038F0" w:rsidP="004038F0">
      <w:r>
        <w:t>[</w:t>
      </w:r>
      <w:r>
        <w:t>中图分类号</w:t>
      </w:r>
      <w:r>
        <w:t>]R783.5 [</w:t>
      </w:r>
      <w:r>
        <w:t>文献标志码</w:t>
      </w:r>
      <w:r>
        <w:t>]A [</w:t>
      </w:r>
      <w:r>
        <w:t>文章编号</w:t>
      </w:r>
      <w:r>
        <w:t>]1008-6455</w:t>
      </w:r>
      <w:r>
        <w:t>（</w:t>
      </w:r>
      <w:r>
        <w:t>2024</w:t>
      </w:r>
      <w:r>
        <w:t>）</w:t>
      </w:r>
      <w:r>
        <w:t xml:space="preserve">02-0128-05 </w:t>
      </w:r>
    </w:p>
    <w:p w14:paraId="2CBF77F0" w14:textId="77777777" w:rsidR="004038F0" w:rsidRDefault="004038F0" w:rsidP="004038F0"/>
    <w:p w14:paraId="111310BD" w14:textId="77777777" w:rsidR="004038F0" w:rsidRDefault="004038F0" w:rsidP="004038F0">
      <w:r>
        <w:t xml:space="preserve">Stability Analysis of Cortical Osteotomy Assisted Orthodontic Treatment for Skeletal Class </w:t>
      </w:r>
      <w:r>
        <w:rPr>
          <w:rFonts w:ascii="宋体" w:hAnsi="宋体" w:cs="宋体" w:hint="eastAsia"/>
        </w:rPr>
        <w:t>Ⅲ</w:t>
      </w:r>
      <w:r>
        <w:t xml:space="preserve"> Malocclusion </w:t>
      </w:r>
    </w:p>
    <w:p w14:paraId="7AEF8B05" w14:textId="77777777" w:rsidR="004038F0" w:rsidRDefault="004038F0" w:rsidP="004038F0"/>
    <w:p w14:paraId="2CEDDAAF" w14:textId="2375D816" w:rsidR="004038F0" w:rsidRDefault="004038F0" w:rsidP="004038F0">
      <w:r>
        <w:t>LU Xin</w:t>
      </w:r>
      <w:proofErr w:type="gramStart"/>
      <w:r>
        <w:t>1 ,DU</w:t>
      </w:r>
      <w:proofErr w:type="gramEnd"/>
      <w:r>
        <w:t xml:space="preserve"> Juan2 ,GAO Xiufeng3</w:t>
      </w:r>
    </w:p>
    <w:p w14:paraId="48D62795" w14:textId="77777777" w:rsidR="004038F0" w:rsidRDefault="004038F0" w:rsidP="004038F0"/>
    <w:p w14:paraId="00E27B83" w14:textId="3BEB317C" w:rsidR="004038F0" w:rsidRDefault="004038F0" w:rsidP="004038F0">
      <w:r>
        <w:t xml:space="preserve"> (</w:t>
      </w:r>
      <w:proofErr w:type="gramStart"/>
      <w:r>
        <w:t>1.Department</w:t>
      </w:r>
      <w:proofErr w:type="gramEnd"/>
      <w:r>
        <w:t xml:space="preserve"> of Periodontics, 2.Department of Dermatology, 3.Department of General </w:t>
      </w:r>
      <w:proofErr w:type="spellStart"/>
      <w:r>
        <w:t>Emergency,Zhangjiakou</w:t>
      </w:r>
      <w:proofErr w:type="spellEnd"/>
      <w:r>
        <w:t xml:space="preserve"> </w:t>
      </w:r>
      <w:proofErr w:type="spellStart"/>
      <w:r>
        <w:t>Stomatological</w:t>
      </w:r>
      <w:proofErr w:type="spellEnd"/>
      <w:r>
        <w:t xml:space="preserve"> </w:t>
      </w:r>
      <w:proofErr w:type="spellStart"/>
      <w:r>
        <w:t>Hospital,Zhangjiakou</w:t>
      </w:r>
      <w:proofErr w:type="spellEnd"/>
      <w:r>
        <w:t xml:space="preserve"> 075001,Hebei,China) </w:t>
      </w:r>
    </w:p>
    <w:p w14:paraId="6E69CDB5" w14:textId="77777777" w:rsidR="004038F0" w:rsidRDefault="004038F0" w:rsidP="004038F0"/>
    <w:p w14:paraId="5837CF4A" w14:textId="0BA90678" w:rsidR="004038F0" w:rsidRDefault="004038F0" w:rsidP="004038F0">
      <w:r>
        <w:t xml:space="preserve">Abstract: Objective To investigate the stability of skeletal Class </w:t>
      </w:r>
      <w:r>
        <w:rPr>
          <w:rFonts w:ascii="宋体" w:hAnsi="宋体" w:cs="宋体" w:hint="eastAsia"/>
        </w:rPr>
        <w:t>Ⅲ</w:t>
      </w:r>
      <w:r>
        <w:t xml:space="preserve"> malocclusion after cortical osteotomy assisted orthodontic treatment. Methods 98 patients with skeletal Class </w:t>
      </w:r>
      <w:r>
        <w:rPr>
          <w:rFonts w:ascii="宋体" w:hAnsi="宋体" w:cs="宋体" w:hint="eastAsia"/>
        </w:rPr>
        <w:t>Ⅲ</w:t>
      </w:r>
      <w:r>
        <w:t xml:space="preserve"> malocclusion in Zhangjiakou </w:t>
      </w:r>
      <w:proofErr w:type="spellStart"/>
      <w:r>
        <w:t>Stomatological</w:t>
      </w:r>
      <w:proofErr w:type="spellEnd"/>
      <w:r>
        <w:t xml:space="preserve"> Hospital from January 2017 to January 2018 were selected and randomly divided into control group (n=48) and observation group (n=50). The control group was treated with conventional orthodontic treatment, and the observation group was treated with cortical osteotomy. And the changes of the width of keratinized gingiva, tooth position, hard tissue and soft tissue before and after treatment in the two groups were compared. Results The alignment time, clearance time and total time of the observation group were </w:t>
      </w:r>
      <w:proofErr w:type="spellStart"/>
      <w:r>
        <w:t>signifi</w:t>
      </w:r>
      <w:proofErr w:type="spellEnd"/>
      <w:r>
        <w:t xml:space="preserve"> </w:t>
      </w:r>
      <w:proofErr w:type="spellStart"/>
      <w:r>
        <w:t>cantly</w:t>
      </w:r>
      <w:proofErr w:type="spellEnd"/>
      <w:r>
        <w:t xml:space="preserve"> shorter than those of the control group (P</w:t>
      </w:r>
      <w:r>
        <w:t>＜</w:t>
      </w:r>
      <w:r>
        <w:t xml:space="preserve">0.05). The sagittal movement distance of maxillary central incisor and maxillary fi </w:t>
      </w:r>
      <w:proofErr w:type="spellStart"/>
      <w:r>
        <w:t>rst</w:t>
      </w:r>
      <w:proofErr w:type="spellEnd"/>
      <w:r>
        <w:t xml:space="preserve"> molar in the observation group were </w:t>
      </w:r>
      <w:proofErr w:type="spellStart"/>
      <w:r>
        <w:t>signifi</w:t>
      </w:r>
      <w:proofErr w:type="spellEnd"/>
      <w:r>
        <w:t xml:space="preserve"> </w:t>
      </w:r>
      <w:proofErr w:type="spellStart"/>
      <w:r>
        <w:t>cantly</w:t>
      </w:r>
      <w:proofErr w:type="spellEnd"/>
      <w:r>
        <w:t xml:space="preserve"> shorter than those in the control group (P</w:t>
      </w:r>
      <w:r>
        <w:t>＜</w:t>
      </w:r>
      <w:r>
        <w:t xml:space="preserve">0.05). The width of keratinized gingiva increased gradually in the </w:t>
      </w:r>
      <w:r>
        <w:lastRenderedPageBreak/>
        <w:t xml:space="preserve">two groups, the widest one week after treatment, and then decreased gradually, and returned to the preoperative level 8 weeks after treatment. There was </w:t>
      </w:r>
      <w:proofErr w:type="spellStart"/>
      <w:r>
        <w:t>signifi</w:t>
      </w:r>
      <w:proofErr w:type="spellEnd"/>
      <w:r>
        <w:t xml:space="preserve"> cant diff </w:t>
      </w:r>
      <w:proofErr w:type="spellStart"/>
      <w:r>
        <w:t>erence</w:t>
      </w:r>
      <w:proofErr w:type="spellEnd"/>
      <w:r>
        <w:t xml:space="preserve"> between the two groups at diff </w:t>
      </w:r>
      <w:proofErr w:type="spellStart"/>
      <w:r>
        <w:t>erent</w:t>
      </w:r>
      <w:proofErr w:type="spellEnd"/>
      <w:r>
        <w:t xml:space="preserve"> time points (P</w:t>
      </w:r>
      <w:r>
        <w:t>＜</w:t>
      </w:r>
      <w:r>
        <w:t xml:space="preserve">0.05), but there was no </w:t>
      </w:r>
      <w:proofErr w:type="spellStart"/>
      <w:r>
        <w:t>signifi</w:t>
      </w:r>
      <w:proofErr w:type="spellEnd"/>
      <w:r>
        <w:t xml:space="preserve"> cant diff </w:t>
      </w:r>
      <w:proofErr w:type="spellStart"/>
      <w:r>
        <w:t>erence</w:t>
      </w:r>
      <w:proofErr w:type="spellEnd"/>
      <w:r>
        <w:t xml:space="preserve"> between the two groups (P</w:t>
      </w:r>
      <w:r>
        <w:t>＞</w:t>
      </w:r>
      <w:r>
        <w:t xml:space="preserve">0.05). After treatment, the tooth position indexes (U1I-CP, U1R-CP) of the observation group were </w:t>
      </w:r>
      <w:proofErr w:type="spellStart"/>
      <w:r>
        <w:t>signifi</w:t>
      </w:r>
      <w:proofErr w:type="spellEnd"/>
      <w:r>
        <w:t xml:space="preserve"> </w:t>
      </w:r>
      <w:proofErr w:type="spellStart"/>
      <w:r>
        <w:t>cantly</w:t>
      </w:r>
      <w:proofErr w:type="spellEnd"/>
      <w:r>
        <w:t xml:space="preserve"> higher than those of the control group (P</w:t>
      </w:r>
      <w:r>
        <w:t>＜</w:t>
      </w:r>
      <w:r>
        <w:t xml:space="preserve">0.05). 1 year after treatment, the hard tissue indexes (SNA, UARA, Sd-CP) of the observation group were </w:t>
      </w:r>
      <w:proofErr w:type="spellStart"/>
      <w:r>
        <w:t>signifi</w:t>
      </w:r>
      <w:proofErr w:type="spellEnd"/>
      <w:r>
        <w:t xml:space="preserve"> </w:t>
      </w:r>
      <w:proofErr w:type="spellStart"/>
      <w:r>
        <w:t>cantly</w:t>
      </w:r>
      <w:proofErr w:type="spellEnd"/>
      <w:r>
        <w:t xml:space="preserve"> higher than those of the control group (P</w:t>
      </w:r>
      <w:r>
        <w:t>＜</w:t>
      </w:r>
      <w:r>
        <w:t xml:space="preserve">0.05). 1 year after treatment, the soft tissue indexes (Ls-HP, Ls-CP, NLA) of the observation group were </w:t>
      </w:r>
      <w:proofErr w:type="spellStart"/>
      <w:r>
        <w:t>signifi</w:t>
      </w:r>
      <w:proofErr w:type="spellEnd"/>
      <w:r>
        <w:t xml:space="preserve"> </w:t>
      </w:r>
      <w:proofErr w:type="spellStart"/>
      <w:r>
        <w:t>cantly</w:t>
      </w:r>
      <w:proofErr w:type="spellEnd"/>
      <w:r>
        <w:t xml:space="preserve"> higher than those of the control group (P</w:t>
      </w:r>
      <w:r>
        <w:t>＜</w:t>
      </w:r>
      <w:r>
        <w:t xml:space="preserve">0.05). Conclusion The stability of patients with skeletal Class </w:t>
      </w:r>
      <w:r>
        <w:rPr>
          <w:rFonts w:ascii="宋体" w:hAnsi="宋体" w:cs="宋体" w:hint="eastAsia"/>
        </w:rPr>
        <w:t>Ⅲ</w:t>
      </w:r>
      <w:r>
        <w:t xml:space="preserve"> malocclusion is </w:t>
      </w:r>
      <w:proofErr w:type="spellStart"/>
      <w:r>
        <w:t>signifi</w:t>
      </w:r>
      <w:proofErr w:type="spellEnd"/>
      <w:r>
        <w:t xml:space="preserve"> </w:t>
      </w:r>
      <w:proofErr w:type="spellStart"/>
      <w:r>
        <w:t>cantly</w:t>
      </w:r>
      <w:proofErr w:type="spellEnd"/>
      <w:r>
        <w:t xml:space="preserve"> improved, the curative eff </w:t>
      </w:r>
      <w:proofErr w:type="spellStart"/>
      <w:r>
        <w:t>ect</w:t>
      </w:r>
      <w:proofErr w:type="spellEnd"/>
      <w:r>
        <w:t xml:space="preserve"> is enhanced, the recovery is fast, and the safety is high, which is worthy of clinical promotion. </w:t>
      </w:r>
    </w:p>
    <w:p w14:paraId="68CEC57F" w14:textId="77777777" w:rsidR="004038F0" w:rsidRDefault="004038F0" w:rsidP="004038F0"/>
    <w:p w14:paraId="1E40ACD7" w14:textId="7018219F" w:rsidR="002F63AB" w:rsidRPr="004038F0" w:rsidRDefault="004038F0" w:rsidP="004038F0">
      <w:r>
        <w:t xml:space="preserve">Key words: skeletal Class </w:t>
      </w:r>
      <w:r>
        <w:rPr>
          <w:rFonts w:ascii="宋体" w:hAnsi="宋体" w:cs="宋体" w:hint="eastAsia"/>
        </w:rPr>
        <w:t>Ⅲ</w:t>
      </w:r>
      <w:r>
        <w:t xml:space="preserve"> malocclusion; cortical osteotomy; orthodontic; tooth position; stability</w:t>
      </w:r>
    </w:p>
    <w:sectPr w:rsidR="002F63AB" w:rsidRPr="004038F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1C072" w14:textId="77777777" w:rsidR="00D42DF4" w:rsidRDefault="00D42DF4" w:rsidP="003724AB">
      <w:r>
        <w:separator/>
      </w:r>
    </w:p>
  </w:endnote>
  <w:endnote w:type="continuationSeparator" w:id="0">
    <w:p w14:paraId="28CD3C44" w14:textId="77777777" w:rsidR="00D42DF4" w:rsidRDefault="00D42DF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7BD7126-1977-47C2-95CD-2ABB57AE637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FCF04" w14:textId="77777777" w:rsidR="00D42DF4" w:rsidRDefault="00D42DF4" w:rsidP="003724AB">
      <w:r>
        <w:separator/>
      </w:r>
    </w:p>
  </w:footnote>
  <w:footnote w:type="continuationSeparator" w:id="0">
    <w:p w14:paraId="4C471462" w14:textId="77777777" w:rsidR="00D42DF4" w:rsidRDefault="00D42DF4"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2DF4"/>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19871</TotalTime>
  <Pages>2</Pages>
  <Words>483</Words>
  <Characters>2759</Characters>
  <Application>Microsoft Office Word</Application>
  <DocSecurity>0</DocSecurity>
  <Lines>22</Lines>
  <Paragraphs>6</Paragraphs>
  <ScaleCrop>false</ScaleCrop>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2603</cp:revision>
  <dcterms:created xsi:type="dcterms:W3CDTF">2022-07-04T07:48:00Z</dcterms:created>
  <dcterms:modified xsi:type="dcterms:W3CDTF">2024-02-27T02:37:00Z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