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F77EA" w14:textId="77777777" w:rsidR="00883F19" w:rsidRDefault="00883F19" w:rsidP="00883F19">
      <w:r>
        <w:t>隐形矫治器前导下颌对骨性</w:t>
      </w:r>
      <w:r>
        <w:rPr>
          <w:rFonts w:ascii="宋体" w:hAnsi="宋体" w:cs="宋体" w:hint="eastAsia"/>
        </w:rPr>
        <w:t>Ⅱ</w:t>
      </w:r>
      <w:proofErr w:type="gramStart"/>
      <w:r>
        <w:t>类错牙</w:t>
      </w:r>
      <w:proofErr w:type="gramEnd"/>
      <w:r>
        <w:t>合畸形患者面部美学结构的影响分析</w:t>
      </w:r>
      <w:r>
        <w:t xml:space="preserve"> </w:t>
      </w:r>
    </w:p>
    <w:p w14:paraId="58EA74AD" w14:textId="77777777" w:rsidR="00883F19" w:rsidRDefault="00883F19" w:rsidP="00883F19"/>
    <w:p w14:paraId="45055AD6" w14:textId="3668434B" w:rsidR="00883F19" w:rsidRDefault="00883F19" w:rsidP="00883F19">
      <w:r>
        <w:t>邓旭霞，周美娟，徐巍巍</w:t>
      </w:r>
      <w:r>
        <w:t xml:space="preserve"> </w:t>
      </w:r>
    </w:p>
    <w:p w14:paraId="72AB2FE4" w14:textId="77777777" w:rsidR="00883F19" w:rsidRDefault="00883F19" w:rsidP="00883F19"/>
    <w:p w14:paraId="06FA24F0" w14:textId="797AAF7C" w:rsidR="00883F19" w:rsidRDefault="00883F19" w:rsidP="00883F19">
      <w:r>
        <w:t>（河北中石油中心医院口腔科</w:t>
      </w:r>
      <w:r>
        <w:t xml:space="preserve"> </w:t>
      </w:r>
      <w:r>
        <w:t>河北</w:t>
      </w:r>
      <w:r>
        <w:t xml:space="preserve"> </w:t>
      </w:r>
      <w:r>
        <w:t>廊坊</w:t>
      </w:r>
      <w:r>
        <w:t xml:space="preserve"> 065000</w:t>
      </w:r>
      <w:r>
        <w:t>）</w:t>
      </w:r>
      <w:r>
        <w:t xml:space="preserve"> </w:t>
      </w:r>
    </w:p>
    <w:p w14:paraId="3A23D93F" w14:textId="77777777" w:rsidR="00883F19" w:rsidRDefault="00883F19" w:rsidP="00883F19"/>
    <w:p w14:paraId="5CB9B5FC" w14:textId="77777777" w:rsidR="00883F19" w:rsidRDefault="00883F19" w:rsidP="00883F19">
      <w:r>
        <w:t>[</w:t>
      </w:r>
      <w:r>
        <w:t>摘要</w:t>
      </w:r>
      <w:r>
        <w:t>]</w:t>
      </w:r>
      <w:r>
        <w:t>目的：探讨隐形矫治器前导下颌对骨性</w:t>
      </w:r>
      <w:r>
        <w:rPr>
          <w:rFonts w:ascii="宋体" w:hAnsi="宋体" w:cs="宋体" w:hint="eastAsia"/>
        </w:rPr>
        <w:t>Ⅱ</w:t>
      </w:r>
      <w:proofErr w:type="gramStart"/>
      <w:r>
        <w:t>类错牙</w:t>
      </w:r>
      <w:proofErr w:type="gramEnd"/>
      <w:r>
        <w:t>合畸形患者面部美学结构的影响。方法：选取笔者医院</w:t>
      </w:r>
      <w:r>
        <w:t>2018</w:t>
      </w:r>
      <w:r>
        <w:t>年</w:t>
      </w:r>
      <w:r>
        <w:t>6</w:t>
      </w:r>
      <w:r>
        <w:t>月</w:t>
      </w:r>
      <w:r>
        <w:t xml:space="preserve">-2019 </w:t>
      </w:r>
      <w:r>
        <w:t>年</w:t>
      </w:r>
      <w:r>
        <w:t>1</w:t>
      </w:r>
      <w:r>
        <w:t>月骨性</w:t>
      </w:r>
      <w:r>
        <w:rPr>
          <w:rFonts w:ascii="宋体" w:hAnsi="宋体" w:cs="宋体" w:hint="eastAsia"/>
        </w:rPr>
        <w:t>Ⅱ</w:t>
      </w:r>
      <w:proofErr w:type="gramStart"/>
      <w:r>
        <w:t>类错牙</w:t>
      </w:r>
      <w:proofErr w:type="gramEnd"/>
      <w:r>
        <w:t>合畸形患者</w:t>
      </w:r>
      <w:r>
        <w:t>96</w:t>
      </w:r>
      <w:r>
        <w:t>例，根据患者意愿分为隐形组（</w:t>
      </w:r>
      <w:r>
        <w:t>n=46</w:t>
      </w:r>
      <w:r>
        <w:t>）和</w:t>
      </w:r>
      <w:proofErr w:type="gramStart"/>
      <w:r>
        <w:t>双牙合垫组</w:t>
      </w:r>
      <w:proofErr w:type="gramEnd"/>
      <w:r>
        <w:t>（</w:t>
      </w:r>
      <w:r>
        <w:t>n=50</w:t>
      </w:r>
      <w:r>
        <w:t>），隐形</w:t>
      </w:r>
      <w:proofErr w:type="gramStart"/>
      <w:r>
        <w:t>组予以</w:t>
      </w:r>
      <w:proofErr w:type="gramEnd"/>
      <w:r>
        <w:t>隐形矫治器治疗，</w:t>
      </w:r>
      <w:r>
        <w:t xml:space="preserve"> </w:t>
      </w:r>
      <w:proofErr w:type="gramStart"/>
      <w:r>
        <w:t>双牙合垫组采用双牙合垫</w:t>
      </w:r>
      <w:proofErr w:type="gramEnd"/>
      <w:r>
        <w:t>矫治器治疗。治疗后比较两组患者临床疗效、上下颌骨骨性改变、软组织指标、前牙深覆盖及磨牙远中</w:t>
      </w:r>
      <w:r>
        <w:t xml:space="preserve"> </w:t>
      </w:r>
      <w:r>
        <w:t>关系指标及面部美学结构。结果：治疗后隐形组和</w:t>
      </w:r>
      <w:proofErr w:type="gramStart"/>
      <w:r>
        <w:t>双牙合垫组</w:t>
      </w:r>
      <w:proofErr w:type="gramEnd"/>
      <w:r>
        <w:t>ABO</w:t>
      </w:r>
      <w:r>
        <w:t>平均得分、上下颌骨骨性改变、软组织指标比较差异无统计</w:t>
      </w:r>
      <w:r>
        <w:t xml:space="preserve"> </w:t>
      </w:r>
      <w:r>
        <w:t>学意义（</w:t>
      </w:r>
      <w:r>
        <w:t>P</w:t>
      </w:r>
      <w:r>
        <w:t>＞</w:t>
      </w:r>
      <w:r>
        <w:t>0.05</w:t>
      </w:r>
      <w:r>
        <w:t>）。隐形组覆盖减小骨性、牙性因素、磨牙关系改善骨性、牙性占比分别为</w:t>
      </w:r>
      <w:r>
        <w:t>66%</w:t>
      </w:r>
      <w:r>
        <w:t>、</w:t>
      </w:r>
      <w:r>
        <w:t>33%</w:t>
      </w:r>
      <w:r>
        <w:t>、</w:t>
      </w:r>
      <w:r>
        <w:t>67%</w:t>
      </w:r>
      <w:r>
        <w:t>、</w:t>
      </w:r>
      <w:r>
        <w:t>32%</w:t>
      </w:r>
      <w:r>
        <w:t>；牙</w:t>
      </w:r>
      <w:proofErr w:type="gramStart"/>
      <w:r>
        <w:t>合垫组</w:t>
      </w:r>
      <w:proofErr w:type="gramEnd"/>
      <w:r>
        <w:t xml:space="preserve"> </w:t>
      </w:r>
      <w:r>
        <w:t>分别为</w:t>
      </w:r>
      <w:r>
        <w:t>58%</w:t>
      </w:r>
      <w:r>
        <w:t>、</w:t>
      </w:r>
      <w:r>
        <w:t>42%</w:t>
      </w:r>
      <w:r>
        <w:t>、</w:t>
      </w:r>
      <w:r>
        <w:t>67%</w:t>
      </w:r>
      <w:r>
        <w:t>、</w:t>
      </w:r>
      <w:r>
        <w:t>33%</w:t>
      </w:r>
      <w:r>
        <w:t>，覆盖减小骨性因素隐形组高于</w:t>
      </w:r>
      <w:proofErr w:type="gramStart"/>
      <w:r>
        <w:t>双牙合垫组</w:t>
      </w:r>
      <w:proofErr w:type="gramEnd"/>
      <w:r>
        <w:t>，牙性因素隐形组低于</w:t>
      </w:r>
      <w:proofErr w:type="gramStart"/>
      <w:r>
        <w:t>双牙合垫组</w:t>
      </w:r>
      <w:proofErr w:type="gramEnd"/>
      <w:r>
        <w:t>（</w:t>
      </w:r>
      <w:r>
        <w:t>P</w:t>
      </w:r>
      <w:r>
        <w:t>＜</w:t>
      </w:r>
      <w:r>
        <w:t>0.05</w:t>
      </w:r>
      <w:r>
        <w:t>），其余组</w:t>
      </w:r>
      <w:r>
        <w:t xml:space="preserve"> </w:t>
      </w:r>
      <w:r>
        <w:t>间比较差异无统计学意义（</w:t>
      </w:r>
      <w:r>
        <w:t>P</w:t>
      </w:r>
      <w:r>
        <w:t>＞</w:t>
      </w:r>
      <w:r>
        <w:t>0.05</w:t>
      </w:r>
      <w:r>
        <w:t>）。治疗后隐形组后咬肌厚度、</w:t>
      </w:r>
      <w:r>
        <w:t>R</w:t>
      </w:r>
      <w:r>
        <w:t>值隐形组高于</w:t>
      </w:r>
      <w:proofErr w:type="gramStart"/>
      <w:r>
        <w:t>双牙合垫组</w:t>
      </w:r>
      <w:proofErr w:type="gramEnd"/>
      <w:r>
        <w:t>（</w:t>
      </w:r>
      <w:r>
        <w:t>P</w:t>
      </w:r>
      <w:r>
        <w:t>＜</w:t>
      </w:r>
      <w:r>
        <w:t>0.05</w:t>
      </w:r>
      <w:r>
        <w:t>）。结论：隐形矫治</w:t>
      </w:r>
      <w:r>
        <w:t xml:space="preserve"> </w:t>
      </w:r>
      <w:r>
        <w:t>器及</w:t>
      </w:r>
      <w:proofErr w:type="gramStart"/>
      <w:r>
        <w:t>双牙合垫</w:t>
      </w:r>
      <w:proofErr w:type="gramEnd"/>
      <w:r>
        <w:t>矫治器治疗骨性</w:t>
      </w:r>
      <w:r>
        <w:rPr>
          <w:rFonts w:ascii="宋体" w:hAnsi="宋体" w:cs="宋体" w:hint="eastAsia"/>
        </w:rPr>
        <w:t>Ⅱ</w:t>
      </w:r>
      <w:proofErr w:type="gramStart"/>
      <w:r>
        <w:t>类错牙</w:t>
      </w:r>
      <w:proofErr w:type="gramEnd"/>
      <w:r>
        <w:t>合畸形患者均能有效促进下颌骨的生长发育，改善上下颌间关系，但隐形下颌前导矫治器</w:t>
      </w:r>
      <w:r>
        <w:t xml:space="preserve"> </w:t>
      </w:r>
      <w:r>
        <w:t>更符合面部外观美学标准。</w:t>
      </w:r>
      <w:r>
        <w:t xml:space="preserve"> </w:t>
      </w:r>
    </w:p>
    <w:p w14:paraId="75F18E77" w14:textId="77777777" w:rsidR="00883F19" w:rsidRDefault="00883F19" w:rsidP="00883F19"/>
    <w:p w14:paraId="31C9A087" w14:textId="5B877071" w:rsidR="00883F19" w:rsidRDefault="00883F19" w:rsidP="00883F19">
      <w:r>
        <w:t>[</w:t>
      </w:r>
      <w:r>
        <w:t>关键词</w:t>
      </w:r>
      <w:r>
        <w:t>]</w:t>
      </w:r>
      <w:r>
        <w:t>隐形矫治器；</w:t>
      </w:r>
      <w:r>
        <w:rPr>
          <w:rFonts w:ascii="宋体" w:hAnsi="宋体" w:cs="宋体" w:hint="eastAsia"/>
        </w:rPr>
        <w:t>Ⅱ</w:t>
      </w:r>
      <w:proofErr w:type="gramStart"/>
      <w:r>
        <w:t>类错牙</w:t>
      </w:r>
      <w:proofErr w:type="gramEnd"/>
      <w:r>
        <w:t>合畸形；面部美学结构；</w:t>
      </w:r>
      <w:proofErr w:type="gramStart"/>
      <w:r>
        <w:t>双牙合垫</w:t>
      </w:r>
      <w:proofErr w:type="gramEnd"/>
      <w:r>
        <w:t>矫治器；前导下颌</w:t>
      </w:r>
      <w:r>
        <w:t xml:space="preserve"> </w:t>
      </w:r>
    </w:p>
    <w:p w14:paraId="2F0D1122" w14:textId="77777777" w:rsidR="00883F19" w:rsidRDefault="00883F19" w:rsidP="00883F19"/>
    <w:p w14:paraId="6BFFEC8C" w14:textId="77777777" w:rsidR="00883F19" w:rsidRDefault="00883F19" w:rsidP="00883F19">
      <w:r>
        <w:t>[</w:t>
      </w:r>
      <w:r>
        <w:t>中图分类号</w:t>
      </w:r>
      <w:r>
        <w:t>]R783.5 [</w:t>
      </w:r>
      <w:r>
        <w:t>文献标志码</w:t>
      </w:r>
      <w:r>
        <w:t>]A [</w:t>
      </w:r>
      <w:r>
        <w:t>文章编号</w:t>
      </w:r>
      <w:r>
        <w:t>]1008-6455</w:t>
      </w:r>
      <w:r>
        <w:t>（</w:t>
      </w:r>
      <w:r>
        <w:t>2024</w:t>
      </w:r>
      <w:r>
        <w:t>）</w:t>
      </w:r>
      <w:r>
        <w:t xml:space="preserve">02-0141-05 </w:t>
      </w:r>
    </w:p>
    <w:p w14:paraId="521ADB0A" w14:textId="77777777" w:rsidR="00883F19" w:rsidRDefault="00883F19" w:rsidP="00883F19"/>
    <w:p w14:paraId="79C20A3A" w14:textId="77777777" w:rsidR="00883F19" w:rsidRDefault="00883F19" w:rsidP="00883F19">
      <w:r>
        <w:t xml:space="preserve">Analysis of the </w:t>
      </w:r>
      <w:proofErr w:type="spellStart"/>
      <w:r>
        <w:t>Infl</w:t>
      </w:r>
      <w:proofErr w:type="spellEnd"/>
      <w:r>
        <w:t xml:space="preserve"> </w:t>
      </w:r>
      <w:proofErr w:type="spellStart"/>
      <w:r>
        <w:t>uence</w:t>
      </w:r>
      <w:proofErr w:type="spellEnd"/>
      <w:r>
        <w:t xml:space="preserve"> of the Mandible Guided by the Invisible Appliance on the Facial Aesthetic Structure of the Patients with Bone Class </w:t>
      </w:r>
      <w:r>
        <w:rPr>
          <w:rFonts w:ascii="宋体" w:hAnsi="宋体" w:cs="宋体" w:hint="eastAsia"/>
        </w:rPr>
        <w:t>Ⅱ</w:t>
      </w:r>
      <w:r>
        <w:t xml:space="preserve"> Malocclusion </w:t>
      </w:r>
    </w:p>
    <w:p w14:paraId="77C45B29" w14:textId="77777777" w:rsidR="00883F19" w:rsidRDefault="00883F19" w:rsidP="00883F19"/>
    <w:p w14:paraId="423BC584" w14:textId="240F3DD8" w:rsidR="00883F19" w:rsidRDefault="00883F19" w:rsidP="00883F19">
      <w:r>
        <w:t xml:space="preserve">DENG </w:t>
      </w:r>
      <w:proofErr w:type="spellStart"/>
      <w:proofErr w:type="gramStart"/>
      <w:r>
        <w:t>Xuxia,ZHOU</w:t>
      </w:r>
      <w:proofErr w:type="spellEnd"/>
      <w:proofErr w:type="gramEnd"/>
      <w:r>
        <w:t xml:space="preserve"> </w:t>
      </w:r>
      <w:proofErr w:type="spellStart"/>
      <w:r>
        <w:t>Meijuan,XU</w:t>
      </w:r>
      <w:proofErr w:type="spellEnd"/>
      <w:r>
        <w:t xml:space="preserve"> Weiwei </w:t>
      </w:r>
    </w:p>
    <w:p w14:paraId="681CC081" w14:textId="77777777" w:rsidR="00883F19" w:rsidRDefault="00883F19" w:rsidP="00883F19"/>
    <w:p w14:paraId="1E40ACD7" w14:textId="0A152442" w:rsidR="002F63AB" w:rsidRDefault="00883F19" w:rsidP="00883F19">
      <w:r>
        <w:t xml:space="preserve">(Department of </w:t>
      </w:r>
      <w:proofErr w:type="spellStart"/>
      <w:proofErr w:type="gramStart"/>
      <w:r>
        <w:t>Stomatology,Hebei</w:t>
      </w:r>
      <w:proofErr w:type="spellEnd"/>
      <w:proofErr w:type="gramEnd"/>
      <w:r>
        <w:t xml:space="preserve"> CNPC Central </w:t>
      </w:r>
      <w:proofErr w:type="spellStart"/>
      <w:r>
        <w:t>Hospital,Langfang</w:t>
      </w:r>
      <w:proofErr w:type="spellEnd"/>
      <w:r>
        <w:t xml:space="preserve"> 065000,Hebei,China)</w:t>
      </w:r>
    </w:p>
    <w:p w14:paraId="42EF3F01" w14:textId="77777777" w:rsidR="00883F19" w:rsidRDefault="00883F19" w:rsidP="00883F19"/>
    <w:p w14:paraId="71A5B820" w14:textId="77777777" w:rsidR="00883F19" w:rsidRDefault="00883F19" w:rsidP="00883F19">
      <w:r>
        <w:t xml:space="preserve">Abstract: Objective To investigate the effect of invisible mandibular leading appliance on the facial aesthetic structure of patients with skeletal class </w:t>
      </w:r>
      <w:r>
        <w:rPr>
          <w:rFonts w:ascii="宋体" w:hAnsi="宋体" w:cs="宋体" w:hint="eastAsia"/>
        </w:rPr>
        <w:t>Ⅱ</w:t>
      </w:r>
      <w:r>
        <w:t xml:space="preserve"> malocclusion. Methods A total of 96 patients with skeletal class </w:t>
      </w:r>
      <w:r>
        <w:rPr>
          <w:rFonts w:ascii="宋体" w:hAnsi="宋体" w:cs="宋体" w:hint="eastAsia"/>
        </w:rPr>
        <w:t>Ⅱ</w:t>
      </w:r>
      <w:r>
        <w:t xml:space="preserve"> malocclusion from June 2018 to January 2019 in the author's hospital were selected and divided into invisible group (n=46) and double bite pad group (n=50) according to patients' wishes. The group was treated with invisible mandibular leading appliance, and the double occlusal pad group was treated with double occlusal pad appliance. After treatment, the clinical efficacy, bony changes of maxilla and mandible, soft tissue indexes, deep coverage of anterior teeth, distal molar relationship indexes and facial aesthetic structure were compared between the two groups. Results There was no </w:t>
      </w:r>
      <w:proofErr w:type="spellStart"/>
      <w:r>
        <w:t>signifi</w:t>
      </w:r>
      <w:proofErr w:type="spellEnd"/>
      <w:r>
        <w:t xml:space="preserve"> cant diff </w:t>
      </w:r>
      <w:proofErr w:type="spellStart"/>
      <w:r>
        <w:t>erence</w:t>
      </w:r>
      <w:proofErr w:type="spellEnd"/>
      <w:r>
        <w:t xml:space="preserve"> in ABO average score, maxillary and mandibular bone changes, and soft tissue indexes between the invisible group and the double-bite pad group after treatment (P</w:t>
      </w:r>
      <w:r>
        <w:t>＞</w:t>
      </w:r>
      <w:r>
        <w:t xml:space="preserve">0.05). In the invisible group, the proportions of osseous and dental factors were reduced by 66% and 33%, respectively, and the proportions of osseous and dental factors were improved by 67% and 32% respectively in the molar relationship; in the occlusal pad group, the proportions were 58% and 42%, respectively 67%, 33%, the coverage </w:t>
      </w:r>
      <w:r>
        <w:lastRenderedPageBreak/>
        <w:t>reduction in the invisible group with bony factors was higher than that in the double occlusal pad group, and the invisible group with dental factors was lower than the double occlusal pad group (P</w:t>
      </w:r>
      <w:r>
        <w:t>＜</w:t>
      </w:r>
      <w:r>
        <w:t xml:space="preserve">0.05). There was no </w:t>
      </w:r>
      <w:proofErr w:type="spellStart"/>
      <w:r>
        <w:t>signifi</w:t>
      </w:r>
      <w:proofErr w:type="spellEnd"/>
      <w:r>
        <w:t xml:space="preserve"> cant diff </w:t>
      </w:r>
      <w:proofErr w:type="spellStart"/>
      <w:r>
        <w:t>erence</w:t>
      </w:r>
      <w:proofErr w:type="spellEnd"/>
      <w:r>
        <w:t xml:space="preserve"> among the other groups (P</w:t>
      </w:r>
      <w:r>
        <w:t>＞</w:t>
      </w:r>
      <w:r>
        <w:t>0.05). After treatment, the thickness and R value of the posterior masseter muscle in the invisible group were higher than those in the double occlusal pad group (P</w:t>
      </w:r>
      <w:r>
        <w:t>＜</w:t>
      </w:r>
      <w:r>
        <w:t xml:space="preserve">0.05). Conclusion Invisible mandibular leading appliance and double occlusal pad appliance can eff </w:t>
      </w:r>
      <w:proofErr w:type="spellStart"/>
      <w:r>
        <w:t>ectively</w:t>
      </w:r>
      <w:proofErr w:type="spellEnd"/>
      <w:r>
        <w:t xml:space="preserve"> promote the growth and development of mandible and improve the relationship between mandible and mandibular in patients with skeletal class II malocclusion, but invisible mandibular leading appliance is more in line with the aesthetic standards of facial appearance. </w:t>
      </w:r>
    </w:p>
    <w:p w14:paraId="6F4DBE1C" w14:textId="77777777" w:rsidR="00883F19" w:rsidRDefault="00883F19" w:rsidP="00883F19"/>
    <w:p w14:paraId="0A9F70CB" w14:textId="7D959A4F" w:rsidR="00883F19" w:rsidRPr="00883F19" w:rsidRDefault="00883F19" w:rsidP="00883F19">
      <w:pPr>
        <w:rPr>
          <w:rFonts w:hint="eastAsia"/>
        </w:rPr>
      </w:pPr>
      <w:r>
        <w:t xml:space="preserve">Key words: invisible appliance; class </w:t>
      </w:r>
      <w:r>
        <w:rPr>
          <w:rFonts w:ascii="宋体" w:hAnsi="宋体" w:cs="宋体" w:hint="eastAsia"/>
        </w:rPr>
        <w:t>Ⅱ</w:t>
      </w:r>
      <w:r>
        <w:t xml:space="preserve"> malocclusion; facial aesthetic structure; double occlusal pad appliance; forward mandibular positioning</w:t>
      </w:r>
    </w:p>
    <w:sectPr w:rsidR="00883F19" w:rsidRPr="00883F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E303B" w14:textId="77777777" w:rsidR="00D30DA8" w:rsidRDefault="00D30DA8" w:rsidP="003724AB">
      <w:r>
        <w:separator/>
      </w:r>
    </w:p>
  </w:endnote>
  <w:endnote w:type="continuationSeparator" w:id="0">
    <w:p w14:paraId="3ED8C449" w14:textId="77777777" w:rsidR="00D30DA8" w:rsidRDefault="00D30DA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5349C74-EFE2-43F2-AFF8-74DD07E6122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72FB7" w14:textId="77777777" w:rsidR="00D30DA8" w:rsidRDefault="00D30DA8" w:rsidP="003724AB">
      <w:r>
        <w:separator/>
      </w:r>
    </w:p>
  </w:footnote>
  <w:footnote w:type="continuationSeparator" w:id="0">
    <w:p w14:paraId="27C26B3C" w14:textId="77777777" w:rsidR="00D30DA8" w:rsidRDefault="00D30DA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0DA8"/>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19875</TotalTime>
  <Pages>2</Pages>
  <Words>485</Words>
  <Characters>2766</Characters>
  <Application>Microsoft Office Word</Application>
  <DocSecurity>0</DocSecurity>
  <Lines>23</Lines>
  <Paragraphs>6</Paragraphs>
  <ScaleCrop>false</ScaleCrop>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2613</cp:revision>
  <dcterms:created xsi:type="dcterms:W3CDTF">2022-07-04T07:48:00Z</dcterms:created>
  <dcterms:modified xsi:type="dcterms:W3CDTF">2024-02-27T02:41:00Z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