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58B628">
      <w:pPr>
        <w:keepNext w:val="0"/>
        <w:keepLines w:val="0"/>
        <w:widowControl/>
        <w:suppressLineNumbers w:val="0"/>
        <w:jc w:val="left"/>
      </w:pPr>
      <w:r>
        <w:rPr>
          <w:rFonts w:ascii="方正小标宋_GBK" w:hAnsi="方正小标宋_GBK" w:eastAsia="方正小标宋_GBK" w:cs="方正小标宋_GBK"/>
          <w:color w:val="231F20"/>
          <w:kern w:val="0"/>
          <w:sz w:val="30"/>
          <w:szCs w:val="30"/>
          <w:lang w:val="en-US" w:eastAsia="zh-CN" w:bidi="ar"/>
        </w:rPr>
        <w:t xml:space="preserve">点阵激光辅助透皮给药在皮肤美容及损容性皮肤病中的应用 </w:t>
      </w:r>
    </w:p>
    <w:p w14:paraId="490C7291">
      <w:pPr>
        <w:keepNext w:val="0"/>
        <w:keepLines w:val="0"/>
        <w:widowControl/>
        <w:suppressLineNumbers w:val="0"/>
        <w:jc w:val="left"/>
      </w:pPr>
      <w:r>
        <w:rPr>
          <w:rFonts w:ascii="方正楷体_GBK" w:hAnsi="方正楷体_GBK" w:eastAsia="方正楷体_GBK" w:cs="方正楷体_GBK"/>
          <w:color w:val="231F20"/>
          <w:kern w:val="0"/>
          <w:sz w:val="24"/>
          <w:szCs w:val="24"/>
          <w:lang w:val="en-US" w:eastAsia="zh-CN" w:bidi="ar"/>
        </w:rPr>
        <w:t>王天姿</w:t>
      </w:r>
      <w:r>
        <w:rPr>
          <w:rFonts w:hint="eastAsia" w:ascii="方正楷体_GBK" w:hAnsi="方正楷体_GBK" w:eastAsia="方正楷体_GBK" w:cs="方正楷体_GBK"/>
          <w:color w:val="231F20"/>
          <w:kern w:val="0"/>
          <w:sz w:val="14"/>
          <w:szCs w:val="14"/>
          <w:lang w:val="en-US" w:eastAsia="zh-CN" w:bidi="ar"/>
        </w:rPr>
        <w:t>1，2</w:t>
      </w:r>
      <w:r>
        <w:rPr>
          <w:rFonts w:hint="eastAsia" w:ascii="方正楷体_GBK" w:hAnsi="方正楷体_GBK" w:eastAsia="方正楷体_GBK" w:cs="方正楷体_GBK"/>
          <w:color w:val="231F20"/>
          <w:kern w:val="0"/>
          <w:sz w:val="24"/>
          <w:szCs w:val="24"/>
          <w:lang w:val="en-US" w:eastAsia="zh-CN" w:bidi="ar"/>
        </w:rPr>
        <w:t xml:space="preserve"> 林 燕</w:t>
      </w:r>
      <w:r>
        <w:rPr>
          <w:rFonts w:hint="eastAsia" w:ascii="方正楷体_GBK" w:hAnsi="方正楷体_GBK" w:eastAsia="方正楷体_GBK" w:cs="方正楷体_GBK"/>
          <w:color w:val="231F20"/>
          <w:kern w:val="0"/>
          <w:sz w:val="14"/>
          <w:szCs w:val="14"/>
          <w:lang w:val="en-US" w:eastAsia="zh-CN" w:bidi="ar"/>
        </w:rPr>
        <w:t>1，2</w:t>
      </w:r>
      <w:r>
        <w:rPr>
          <w:rFonts w:hint="eastAsia" w:ascii="方正楷体_GBK" w:hAnsi="方正楷体_GBK" w:eastAsia="方正楷体_GBK" w:cs="方正楷体_GBK"/>
          <w:color w:val="231F20"/>
          <w:kern w:val="0"/>
          <w:sz w:val="24"/>
          <w:szCs w:val="24"/>
          <w:lang w:val="en-US" w:eastAsia="zh-CN" w:bidi="ar"/>
        </w:rPr>
        <w:t xml:space="preserve"> 高晓园</w:t>
      </w:r>
      <w:r>
        <w:rPr>
          <w:rFonts w:hint="eastAsia" w:ascii="方正楷体_GBK" w:hAnsi="方正楷体_GBK" w:eastAsia="方正楷体_GBK" w:cs="方正楷体_GBK"/>
          <w:color w:val="231F20"/>
          <w:kern w:val="0"/>
          <w:sz w:val="14"/>
          <w:szCs w:val="14"/>
          <w:lang w:val="en-US" w:eastAsia="zh-CN" w:bidi="ar"/>
        </w:rPr>
        <w:t>1，2</w:t>
      </w:r>
      <w:r>
        <w:rPr>
          <w:rFonts w:hint="eastAsia" w:ascii="方正楷体_GBK" w:hAnsi="方正楷体_GBK" w:eastAsia="方正楷体_GBK" w:cs="方正楷体_GBK"/>
          <w:color w:val="231F20"/>
          <w:kern w:val="0"/>
          <w:sz w:val="24"/>
          <w:szCs w:val="24"/>
          <w:lang w:val="en-US" w:eastAsia="zh-CN" w:bidi="ar"/>
        </w:rPr>
        <w:t xml:space="preserve"> 刘晓栋</w:t>
      </w:r>
      <w:r>
        <w:rPr>
          <w:rFonts w:hint="eastAsia" w:ascii="方正楷体_GBK" w:hAnsi="方正楷体_GBK" w:eastAsia="方正楷体_GBK" w:cs="方正楷体_GBK"/>
          <w:color w:val="231F20"/>
          <w:kern w:val="0"/>
          <w:sz w:val="14"/>
          <w:szCs w:val="14"/>
          <w:lang w:val="en-US" w:eastAsia="zh-CN" w:bidi="ar"/>
        </w:rPr>
        <w:t>1，2</w:t>
      </w:r>
      <w:r>
        <w:rPr>
          <w:rFonts w:hint="eastAsia" w:ascii="方正楷体_GBK" w:hAnsi="方正楷体_GBK" w:eastAsia="方正楷体_GBK" w:cs="方正楷体_GBK"/>
          <w:color w:val="231F20"/>
          <w:kern w:val="0"/>
          <w:sz w:val="24"/>
          <w:szCs w:val="24"/>
          <w:lang w:val="en-US" w:eastAsia="zh-CN" w:bidi="ar"/>
        </w:rPr>
        <w:t xml:space="preserve"> 综述，刘华绪</w:t>
      </w:r>
      <w:r>
        <w:rPr>
          <w:rFonts w:hint="eastAsia" w:ascii="方正楷体_GBK" w:hAnsi="方正楷体_GBK" w:eastAsia="方正楷体_GBK" w:cs="方正楷体_GBK"/>
          <w:color w:val="231F20"/>
          <w:kern w:val="0"/>
          <w:sz w:val="14"/>
          <w:szCs w:val="14"/>
          <w:lang w:val="en-US" w:eastAsia="zh-CN" w:bidi="ar"/>
        </w:rPr>
        <w:t>1，2</w:t>
      </w:r>
      <w:r>
        <w:rPr>
          <w:rFonts w:hint="eastAsia" w:ascii="方正楷体_GBK" w:hAnsi="方正楷体_GBK" w:eastAsia="方正楷体_GBK" w:cs="方正楷体_GBK"/>
          <w:color w:val="231F20"/>
          <w:kern w:val="0"/>
          <w:sz w:val="24"/>
          <w:szCs w:val="24"/>
          <w:lang w:val="en-US" w:eastAsia="zh-CN" w:bidi="ar"/>
        </w:rPr>
        <w:t xml:space="preserve"> 审校 </w:t>
      </w:r>
    </w:p>
    <w:p w14:paraId="6EC7C3D3">
      <w:pPr>
        <w:keepNext w:val="0"/>
        <w:keepLines w:val="0"/>
        <w:widowControl/>
        <w:numPr>
          <w:ilvl w:val="0"/>
          <w:numId w:val="1"/>
        </w:numPr>
        <w:suppressLineNumbers w:val="0"/>
        <w:jc w:val="left"/>
        <w:rPr>
          <w:rFonts w:hint="eastAsia" w:ascii="方正楷体_GBK" w:hAnsi="方正楷体_GBK" w:eastAsia="方正楷体_GBK" w:cs="方正楷体_GBK"/>
          <w:color w:val="231F20"/>
          <w:kern w:val="0"/>
          <w:sz w:val="18"/>
          <w:szCs w:val="18"/>
          <w:lang w:val="en-US" w:eastAsia="zh-CN" w:bidi="ar"/>
        </w:rPr>
      </w:pPr>
      <w:r>
        <w:rPr>
          <w:rFonts w:hint="eastAsia" w:ascii="方正楷体_GBK" w:hAnsi="方正楷体_GBK" w:eastAsia="方正楷体_GBK" w:cs="方正楷体_GBK"/>
          <w:color w:val="231F20"/>
          <w:kern w:val="0"/>
          <w:sz w:val="18"/>
          <w:szCs w:val="18"/>
          <w:lang w:val="en-US" w:eastAsia="zh-CN" w:bidi="ar"/>
        </w:rPr>
        <w:t xml:space="preserve">山东第一医科大学附属皮肤病医院 山东 济南 250022；2.山东省皮肤病性病防治研究所 山东 济南 250022） </w:t>
      </w:r>
    </w:p>
    <w:p w14:paraId="4F879A24">
      <w:pPr>
        <w:keepNext w:val="0"/>
        <w:keepLines w:val="0"/>
        <w:widowControl/>
        <w:numPr>
          <w:numId w:val="0"/>
        </w:numPr>
        <w:suppressLineNumbers w:val="0"/>
        <w:jc w:val="left"/>
        <w:rPr>
          <w:rFonts w:hint="eastAsia" w:ascii="方正楷体_GBK" w:hAnsi="方正楷体_GBK" w:eastAsia="方正楷体_GBK" w:cs="方正楷体_GBK"/>
          <w:color w:val="231F20"/>
          <w:kern w:val="0"/>
          <w:sz w:val="18"/>
          <w:szCs w:val="18"/>
          <w:lang w:val="en-US" w:eastAsia="zh-CN" w:bidi="ar"/>
        </w:rPr>
      </w:pPr>
    </w:p>
    <w:p w14:paraId="480EC5D2">
      <w:pPr>
        <w:keepNext w:val="0"/>
        <w:keepLines w:val="0"/>
        <w:widowControl/>
        <w:suppressLineNumbers w:val="0"/>
        <w:jc w:val="left"/>
      </w:pPr>
      <w:r>
        <w:rPr>
          <w:rFonts w:ascii="黑体" w:hAnsi="宋体" w:eastAsia="黑体" w:cs="黑体"/>
          <w:color w:val="231F20"/>
          <w:kern w:val="0"/>
          <w:sz w:val="18"/>
          <w:szCs w:val="18"/>
          <w:lang w:val="en-US" w:eastAsia="zh-CN" w:bidi="ar"/>
        </w:rPr>
        <w:t>[摘要]</w:t>
      </w:r>
      <w:r>
        <w:rPr>
          <w:rFonts w:ascii="楷体_GB2312" w:hAnsi="宋体" w:eastAsia="楷体_GB2312" w:cs="楷体_GB2312"/>
          <w:color w:val="231F20"/>
          <w:kern w:val="0"/>
          <w:sz w:val="18"/>
          <w:szCs w:val="18"/>
          <w:lang w:val="en-US" w:eastAsia="zh-CN" w:bidi="ar"/>
        </w:rPr>
        <w:t xml:space="preserve">点阵激光通过产生矩阵排列的微光束，在皮肤上形成分布均匀的微热治疗区，最大限度地保留了正常皮肤组织，与传 </w:t>
      </w:r>
    </w:p>
    <w:p w14:paraId="49642535">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 xml:space="preserve">统激光相比创伤小、恢复快。近年来发现点阵激光能够作为辅助透皮给药手段，可控地破坏皮肤屏障，促进局部用药的透皮 </w:t>
      </w:r>
    </w:p>
    <w:p w14:paraId="5C8B2E8B">
      <w:pPr>
        <w:keepNext w:val="0"/>
        <w:keepLines w:val="0"/>
        <w:widowControl/>
        <w:suppressLineNumbers w:val="0"/>
        <w:jc w:val="left"/>
      </w:pPr>
      <w:r>
        <w:rPr>
          <w:rFonts w:hint="eastAsia" w:ascii="楷体_GB2312" w:hAnsi="宋体" w:eastAsia="楷体_GB2312" w:cs="楷体_GB2312"/>
          <w:color w:val="231F20"/>
          <w:kern w:val="0"/>
          <w:sz w:val="18"/>
          <w:szCs w:val="18"/>
          <w:lang w:val="en-US" w:eastAsia="zh-CN" w:bidi="ar"/>
        </w:rPr>
        <w:t xml:space="preserve">吸收，拓展了外用制剂的选择范围。本文就点阵激光辅助透皮给药技术在皮肤美容及损容性皮肤病中的应用做一综述。 </w:t>
      </w:r>
    </w:p>
    <w:p w14:paraId="7F2F8727">
      <w:pPr>
        <w:keepNext w:val="0"/>
        <w:keepLines w:val="0"/>
        <w:widowControl/>
        <w:suppressLineNumbers w:val="0"/>
        <w:jc w:val="left"/>
      </w:pPr>
      <w:r>
        <w:rPr>
          <w:rFonts w:hint="eastAsia" w:ascii="黑体" w:hAnsi="宋体" w:eastAsia="黑体" w:cs="黑体"/>
          <w:color w:val="231F20"/>
          <w:kern w:val="0"/>
          <w:sz w:val="18"/>
          <w:szCs w:val="18"/>
          <w:lang w:val="en-US" w:eastAsia="zh-CN" w:bidi="ar"/>
        </w:rPr>
        <w:t>[关键词]</w:t>
      </w:r>
      <w:r>
        <w:rPr>
          <w:rFonts w:hint="eastAsia" w:ascii="楷体_GB2312" w:hAnsi="宋体" w:eastAsia="楷体_GB2312" w:cs="楷体_GB2312"/>
          <w:color w:val="231F20"/>
          <w:kern w:val="0"/>
          <w:sz w:val="18"/>
          <w:szCs w:val="18"/>
          <w:lang w:val="en-US" w:eastAsia="zh-CN" w:bidi="ar"/>
        </w:rPr>
        <w:t xml:space="preserve">点阵激光；激光辅助透皮给药；皮肤美容；损容性皮肤病 </w:t>
      </w:r>
    </w:p>
    <w:p w14:paraId="374ADFCE">
      <w:pPr>
        <w:keepNext w:val="0"/>
        <w:keepLines w:val="0"/>
        <w:widowControl/>
        <w:suppressLineNumbers w:val="0"/>
        <w:jc w:val="left"/>
        <w:rPr>
          <w:rFonts w:hint="eastAsia" w:ascii="楷体_GB2312" w:hAnsi="宋体" w:eastAsia="楷体_GB2312" w:cs="楷体_GB2312"/>
          <w:color w:val="231F20"/>
          <w:kern w:val="0"/>
          <w:sz w:val="18"/>
          <w:szCs w:val="18"/>
          <w:lang w:val="en-US" w:eastAsia="zh-CN" w:bidi="ar"/>
        </w:rPr>
      </w:pPr>
      <w:r>
        <w:rPr>
          <w:rFonts w:hint="eastAsia" w:ascii="黑体" w:hAnsi="宋体" w:eastAsia="黑体" w:cs="黑体"/>
          <w:color w:val="231F20"/>
          <w:kern w:val="0"/>
          <w:sz w:val="18"/>
          <w:szCs w:val="18"/>
          <w:lang w:val="en-US" w:eastAsia="zh-CN" w:bidi="ar"/>
        </w:rPr>
        <w:t>[中图分类号]</w:t>
      </w:r>
      <w:r>
        <w:rPr>
          <w:rFonts w:hint="eastAsia" w:ascii="楷体_GB2312" w:hAnsi="宋体" w:eastAsia="楷体_GB2312" w:cs="楷体_GB2312"/>
          <w:color w:val="231F20"/>
          <w:kern w:val="0"/>
          <w:sz w:val="18"/>
          <w:szCs w:val="18"/>
          <w:lang w:val="en-US" w:eastAsia="zh-CN" w:bidi="ar"/>
        </w:rPr>
        <w:t xml:space="preserve">R616.4 </w:t>
      </w:r>
      <w:r>
        <w:rPr>
          <w:rFonts w:hint="eastAsia" w:ascii="黑体" w:hAnsi="宋体" w:eastAsia="黑体" w:cs="黑体"/>
          <w:color w:val="231F20"/>
          <w:kern w:val="0"/>
          <w:sz w:val="18"/>
          <w:szCs w:val="18"/>
          <w:lang w:val="en-US" w:eastAsia="zh-CN" w:bidi="ar"/>
        </w:rPr>
        <w:t>[文献标志码]</w:t>
      </w:r>
      <w:r>
        <w:rPr>
          <w:rFonts w:hint="eastAsia" w:ascii="楷体_GB2312" w:hAnsi="宋体" w:eastAsia="楷体_GB2312" w:cs="楷体_GB2312"/>
          <w:color w:val="231F20"/>
          <w:kern w:val="0"/>
          <w:sz w:val="18"/>
          <w:szCs w:val="18"/>
          <w:lang w:val="en-US" w:eastAsia="zh-CN" w:bidi="ar"/>
        </w:rPr>
        <w:t xml:space="preserve">A </w:t>
      </w:r>
      <w:r>
        <w:rPr>
          <w:rFonts w:hint="eastAsia" w:ascii="黑体" w:hAnsi="宋体" w:eastAsia="黑体" w:cs="黑体"/>
          <w:color w:val="231F20"/>
          <w:kern w:val="0"/>
          <w:sz w:val="18"/>
          <w:szCs w:val="18"/>
          <w:lang w:val="en-US" w:eastAsia="zh-CN" w:bidi="ar"/>
        </w:rPr>
        <w:t>[文章编号]</w:t>
      </w:r>
      <w:r>
        <w:rPr>
          <w:rFonts w:hint="eastAsia" w:ascii="楷体_GB2312" w:hAnsi="宋体" w:eastAsia="楷体_GB2312" w:cs="楷体_GB2312"/>
          <w:color w:val="231F20"/>
          <w:kern w:val="0"/>
          <w:sz w:val="18"/>
          <w:szCs w:val="18"/>
          <w:lang w:val="en-US" w:eastAsia="zh-CN" w:bidi="ar"/>
        </w:rPr>
        <w:t xml:space="preserve">1008-6455（2024）11-0192-06 </w:t>
      </w:r>
    </w:p>
    <w:p w14:paraId="44201FAC">
      <w:pPr>
        <w:keepNext w:val="0"/>
        <w:keepLines w:val="0"/>
        <w:widowControl/>
        <w:suppressLineNumbers w:val="0"/>
        <w:jc w:val="left"/>
        <w:rPr>
          <w:rFonts w:hint="eastAsia" w:ascii="楷体_GB2312" w:hAnsi="宋体" w:eastAsia="楷体_GB2312" w:cs="楷体_GB2312"/>
          <w:color w:val="231F20"/>
          <w:kern w:val="0"/>
          <w:sz w:val="18"/>
          <w:szCs w:val="18"/>
          <w:lang w:val="en-US" w:eastAsia="zh-CN" w:bidi="ar"/>
        </w:rPr>
      </w:pPr>
    </w:p>
    <w:p w14:paraId="2186A676">
      <w:pPr>
        <w:keepNext w:val="0"/>
        <w:keepLines w:val="0"/>
        <w:widowControl/>
        <w:suppressLineNumbers w:val="0"/>
        <w:jc w:val="left"/>
      </w:pPr>
      <w:r>
        <w:rPr>
          <w:rFonts w:ascii="ITC Avant Garde Gothic Demi" w:hAnsi="ITC Avant Garde Gothic Demi" w:eastAsia="ITC Avant Garde Gothic Demi" w:cs="ITC Avant Garde Gothic Demi"/>
          <w:b/>
          <w:bCs/>
          <w:color w:val="231F20"/>
          <w:kern w:val="0"/>
          <w:sz w:val="24"/>
          <w:szCs w:val="24"/>
          <w:lang w:val="en-US" w:eastAsia="zh-CN" w:bidi="ar"/>
        </w:rPr>
        <w:t xml:space="preserve">Application of Fractional Laser-assisted Transdermal Drug Delivery in Skin Cosmesis </w:t>
      </w:r>
      <w:r>
        <w:rPr>
          <w:rFonts w:hint="default" w:ascii="ITC Avant Garde Gothic Demi" w:hAnsi="ITC Avant Garde Gothic Demi" w:eastAsia="ITC Avant Garde Gothic Demi" w:cs="ITC Avant Garde Gothic Demi"/>
          <w:b/>
          <w:bCs/>
          <w:color w:val="231F20"/>
          <w:kern w:val="0"/>
          <w:sz w:val="24"/>
          <w:szCs w:val="24"/>
          <w:lang w:val="en-US" w:eastAsia="zh-CN" w:bidi="ar"/>
        </w:rPr>
        <w:t xml:space="preserve">and Discosmetic Dermatosis </w:t>
      </w:r>
    </w:p>
    <w:p w14:paraId="70EFE1F4">
      <w:pPr>
        <w:keepNext w:val="0"/>
        <w:keepLines w:val="0"/>
        <w:widowControl/>
        <w:suppressLineNumbers w:val="0"/>
        <w:jc w:val="left"/>
        <w:rPr>
          <w:rFonts w:hint="default" w:ascii="方正兰亭中黑_GBK" w:hAnsi="方正兰亭中黑_GBK" w:eastAsia="方正兰亭中黑_GBK" w:cs="方正兰亭中黑_GBK"/>
          <w:color w:val="231F20"/>
          <w:kern w:val="0"/>
          <w:sz w:val="10"/>
          <w:szCs w:val="10"/>
          <w:lang w:val="en-US" w:eastAsia="zh-CN" w:bidi="ar"/>
        </w:rPr>
      </w:pPr>
      <w:r>
        <w:rPr>
          <w:rFonts w:ascii="方正兰亭中黑_GBK" w:hAnsi="方正兰亭中黑_GBK" w:eastAsia="方正兰亭中黑_GBK" w:cs="方正兰亭中黑_GBK"/>
          <w:color w:val="231F20"/>
          <w:kern w:val="0"/>
          <w:sz w:val="18"/>
          <w:szCs w:val="18"/>
          <w:lang w:val="en-US" w:eastAsia="zh-CN" w:bidi="ar"/>
        </w:rPr>
        <w:t>WANG Tianzi</w:t>
      </w:r>
      <w:r>
        <w:rPr>
          <w:rFonts w:hint="default" w:ascii="方正兰亭中黑_GBK" w:hAnsi="方正兰亭中黑_GBK" w:eastAsia="方正兰亭中黑_GBK" w:cs="方正兰亭中黑_GBK"/>
          <w:color w:val="231F20"/>
          <w:kern w:val="0"/>
          <w:sz w:val="10"/>
          <w:szCs w:val="10"/>
          <w:lang w:val="en-US" w:eastAsia="zh-CN" w:bidi="ar"/>
        </w:rPr>
        <w:t>1,2</w:t>
      </w:r>
      <w:r>
        <w:rPr>
          <w:rFonts w:hint="default" w:ascii="方正兰亭中黑_GBK" w:hAnsi="方正兰亭中黑_GBK" w:eastAsia="方正兰亭中黑_GBK" w:cs="方正兰亭中黑_GBK"/>
          <w:color w:val="231F20"/>
          <w:kern w:val="0"/>
          <w:sz w:val="18"/>
          <w:szCs w:val="18"/>
          <w:lang w:val="en-US" w:eastAsia="zh-CN" w:bidi="ar"/>
        </w:rPr>
        <w:t>, LIN Yan</w:t>
      </w:r>
      <w:r>
        <w:rPr>
          <w:rFonts w:hint="default" w:ascii="方正兰亭中黑_GBK" w:hAnsi="方正兰亭中黑_GBK" w:eastAsia="方正兰亭中黑_GBK" w:cs="方正兰亭中黑_GBK"/>
          <w:color w:val="231F20"/>
          <w:kern w:val="0"/>
          <w:sz w:val="10"/>
          <w:szCs w:val="10"/>
          <w:lang w:val="en-US" w:eastAsia="zh-CN" w:bidi="ar"/>
        </w:rPr>
        <w:t>1,2</w:t>
      </w:r>
      <w:r>
        <w:rPr>
          <w:rFonts w:hint="default" w:ascii="方正兰亭中黑_GBK" w:hAnsi="方正兰亭中黑_GBK" w:eastAsia="方正兰亭中黑_GBK" w:cs="方正兰亭中黑_GBK"/>
          <w:color w:val="231F20"/>
          <w:kern w:val="0"/>
          <w:sz w:val="18"/>
          <w:szCs w:val="18"/>
          <w:lang w:val="en-US" w:eastAsia="zh-CN" w:bidi="ar"/>
        </w:rPr>
        <w:t>, GAO Xiaoyuan</w:t>
      </w:r>
      <w:r>
        <w:rPr>
          <w:rFonts w:hint="default" w:ascii="方正兰亭中黑_GBK" w:hAnsi="方正兰亭中黑_GBK" w:eastAsia="方正兰亭中黑_GBK" w:cs="方正兰亭中黑_GBK"/>
          <w:color w:val="231F20"/>
          <w:kern w:val="0"/>
          <w:sz w:val="10"/>
          <w:szCs w:val="10"/>
          <w:lang w:val="en-US" w:eastAsia="zh-CN" w:bidi="ar"/>
        </w:rPr>
        <w:t>1,2</w:t>
      </w:r>
      <w:r>
        <w:rPr>
          <w:rFonts w:hint="default" w:ascii="方正兰亭中黑_GBK" w:hAnsi="方正兰亭中黑_GBK" w:eastAsia="方正兰亭中黑_GBK" w:cs="方正兰亭中黑_GBK"/>
          <w:color w:val="231F20"/>
          <w:kern w:val="0"/>
          <w:sz w:val="18"/>
          <w:szCs w:val="18"/>
          <w:lang w:val="en-US" w:eastAsia="zh-CN" w:bidi="ar"/>
        </w:rPr>
        <w:t>, LIU Xiaodong</w:t>
      </w:r>
      <w:r>
        <w:rPr>
          <w:rFonts w:hint="default" w:ascii="方正兰亭中黑_GBK" w:hAnsi="方正兰亭中黑_GBK" w:eastAsia="方正兰亭中黑_GBK" w:cs="方正兰亭中黑_GBK"/>
          <w:color w:val="231F20"/>
          <w:kern w:val="0"/>
          <w:sz w:val="10"/>
          <w:szCs w:val="10"/>
          <w:lang w:val="en-US" w:eastAsia="zh-CN" w:bidi="ar"/>
        </w:rPr>
        <w:t>1,2</w:t>
      </w:r>
      <w:r>
        <w:rPr>
          <w:rFonts w:hint="default" w:ascii="方正兰亭中黑_GBK" w:hAnsi="方正兰亭中黑_GBK" w:eastAsia="方正兰亭中黑_GBK" w:cs="方正兰亭中黑_GBK"/>
          <w:color w:val="231F20"/>
          <w:kern w:val="0"/>
          <w:sz w:val="18"/>
          <w:szCs w:val="18"/>
          <w:lang w:val="en-US" w:eastAsia="zh-CN" w:bidi="ar"/>
        </w:rPr>
        <w:t>, LIU Huaxu</w:t>
      </w:r>
      <w:r>
        <w:rPr>
          <w:rFonts w:hint="default" w:ascii="方正兰亭中黑_GBK" w:hAnsi="方正兰亭中黑_GBK" w:eastAsia="方正兰亭中黑_GBK" w:cs="方正兰亭中黑_GBK"/>
          <w:color w:val="231F20"/>
          <w:kern w:val="0"/>
          <w:sz w:val="10"/>
          <w:szCs w:val="10"/>
          <w:lang w:val="en-US" w:eastAsia="zh-CN" w:bidi="ar"/>
        </w:rPr>
        <w:t xml:space="preserve">1,2 </w:t>
      </w:r>
    </w:p>
    <w:p w14:paraId="7EE289D9">
      <w:pPr>
        <w:keepNext w:val="0"/>
        <w:keepLines w:val="0"/>
        <w:widowControl/>
        <w:suppressLineNumbers w:val="0"/>
        <w:jc w:val="left"/>
        <w:rPr>
          <w:rFonts w:hint="default" w:ascii="方正兰亭中黑_GBK" w:hAnsi="方正兰亭中黑_GBK" w:eastAsia="方正兰亭中黑_GBK" w:cs="方正兰亭中黑_GBK"/>
          <w:color w:val="231F20"/>
          <w:kern w:val="0"/>
          <w:sz w:val="10"/>
          <w:szCs w:val="10"/>
          <w:lang w:val="en-US" w:eastAsia="zh-CN" w:bidi="ar"/>
        </w:rPr>
      </w:pPr>
    </w:p>
    <w:p w14:paraId="3EEEC30D">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( 1.Hospital for Skin Diseases, Shandong First Medical University, Jinan 250022, Shandong, China; 2.Shandong Provincial Institute of Dermatology and Venereology, Shandong Academy of Medical Sciences, </w:t>
      </w:r>
    </w:p>
    <w:p w14:paraId="37E89255">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Jinan 250022, Shandong, China ) </w:t>
      </w:r>
    </w:p>
    <w:p w14:paraId="5FBA0FFA">
      <w:pPr>
        <w:keepNext w:val="0"/>
        <w:keepLines w:val="0"/>
        <w:widowControl/>
        <w:suppressLineNumbers w:val="0"/>
        <w:jc w:val="left"/>
      </w:pPr>
      <w:r>
        <w:rPr>
          <w:rFonts w:ascii="Didot-HTF-B06-Bold" w:hAnsi="Didot-HTF-B06-Bold" w:eastAsia="Didot-HTF-B06-Bold" w:cs="Didot-HTF-B06-Bold"/>
          <w:b/>
          <w:bCs/>
          <w:color w:val="231F20"/>
          <w:kern w:val="0"/>
          <w:sz w:val="19"/>
          <w:szCs w:val="19"/>
          <w:lang w:val="en-US" w:eastAsia="zh-CN" w:bidi="ar"/>
        </w:rPr>
        <w:t>Abstract:</w:t>
      </w:r>
      <w:r>
        <w:rPr>
          <w:rFonts w:hint="default" w:ascii="Times New Roman" w:hAnsi="Times New Roman" w:eastAsia="宋体" w:cs="Times New Roman"/>
          <w:color w:val="231F20"/>
          <w:kern w:val="0"/>
          <w:sz w:val="19"/>
          <w:szCs w:val="19"/>
          <w:lang w:val="en-US" w:eastAsia="zh-CN" w:bidi="ar"/>
        </w:rPr>
        <w:t xml:space="preserve"> The fractional laser can generate microbeam arrays arranged in a matrix configuration, resulting in uniformly distributed microthermal treatment zones in the skin. In contrast to conventional laser modality, this approach optimizes the preservation of undamaged skin, reducing injury and acceleratingre-epithelization. Recent studies indicate that fractional laser-</w:t>
      </w:r>
      <w:bookmarkStart w:id="0" w:name="_GoBack"/>
      <w:bookmarkEnd w:id="0"/>
      <w:r>
        <w:rPr>
          <w:rFonts w:hint="default" w:ascii="Times New Roman" w:hAnsi="Times New Roman" w:eastAsia="宋体" w:cs="Times New Roman"/>
          <w:color w:val="231F20"/>
          <w:kern w:val="0"/>
          <w:sz w:val="19"/>
          <w:szCs w:val="19"/>
          <w:lang w:val="en-US" w:eastAsia="zh-CN" w:bidi="ar"/>
        </w:rPr>
        <w:t xml:space="preserve">assisted transdermal drug delivery has the capacity to selectively disrupt the skin barrier, thereby enhancing the assimilation </w:t>
      </w:r>
    </w:p>
    <w:p w14:paraId="4A0DDD8D">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of topical medications and broadening the spectrum of viable topical compounds. This paper presents a comprehensive </w:t>
      </w:r>
    </w:p>
    <w:p w14:paraId="00D65541">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overview of the application of fractional laser-assisted transdermal drug delivery in the realms of skin cosmesis and discosmetic </w:t>
      </w:r>
    </w:p>
    <w:p w14:paraId="09E431FA">
      <w:pPr>
        <w:keepNext w:val="0"/>
        <w:keepLines w:val="0"/>
        <w:widowControl/>
        <w:suppressLineNumbers w:val="0"/>
        <w:jc w:val="left"/>
      </w:pPr>
      <w:r>
        <w:rPr>
          <w:rFonts w:hint="default" w:ascii="Times New Roman" w:hAnsi="Times New Roman" w:eastAsia="宋体" w:cs="Times New Roman"/>
          <w:color w:val="231F20"/>
          <w:kern w:val="0"/>
          <w:sz w:val="19"/>
          <w:szCs w:val="19"/>
          <w:lang w:val="en-US" w:eastAsia="zh-CN" w:bidi="ar"/>
        </w:rPr>
        <w:t xml:space="preserve">dermatosis. </w:t>
      </w:r>
    </w:p>
    <w:p w14:paraId="6BFB664F">
      <w:pPr>
        <w:keepNext w:val="0"/>
        <w:keepLines w:val="0"/>
        <w:widowControl/>
        <w:suppressLineNumbers w:val="0"/>
        <w:jc w:val="left"/>
      </w:pPr>
      <w:r>
        <w:rPr>
          <w:rFonts w:ascii="Didot-HTF-B06-Bold" w:hAnsi="Didot-HTF-B06-Bold" w:eastAsia="Didot-HTF-B06-Bold" w:cs="Didot-HTF-B06-Bold"/>
          <w:b/>
          <w:bCs/>
          <w:color w:val="231F20"/>
          <w:kern w:val="0"/>
          <w:sz w:val="19"/>
          <w:szCs w:val="19"/>
          <w:lang w:val="en-US" w:eastAsia="zh-CN" w:bidi="ar"/>
        </w:rPr>
        <w:t>Key words:</w:t>
      </w:r>
      <w:r>
        <w:rPr>
          <w:rFonts w:hint="default" w:ascii="Times New Roman" w:hAnsi="Times New Roman" w:eastAsia="宋体" w:cs="Times New Roman"/>
          <w:color w:val="231F20"/>
          <w:kern w:val="0"/>
          <w:sz w:val="19"/>
          <w:szCs w:val="19"/>
          <w:lang w:val="en-US" w:eastAsia="zh-CN" w:bidi="ar"/>
        </w:rPr>
        <w:t xml:space="preserve"> fractional laser; laser-assisted transdermal drug delivery; skin cosmesis; discosmetic dermatosis</w:t>
      </w:r>
    </w:p>
    <w:p w14:paraId="180444A7">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ITC Avant Garde Gothic Demi">
    <w:altName w:val="Segoe Print"/>
    <w:panose1 w:val="00000000000000000000"/>
    <w:charset w:val="00"/>
    <w:family w:val="auto"/>
    <w:pitch w:val="default"/>
    <w:sig w:usb0="00000000" w:usb1="00000000" w:usb2="00000000" w:usb3="00000000" w:csb0="00000000" w:csb1="00000000"/>
  </w:font>
  <w:font w:name="方正兰亭中黑_GBK">
    <w:altName w:val="黑体"/>
    <w:panose1 w:val="00000000000000000000"/>
    <w:charset w:val="00"/>
    <w:family w:val="auto"/>
    <w:pitch w:val="default"/>
    <w:sig w:usb0="00000000" w:usb1="00000000" w:usb2="00000000" w:usb3="00000000" w:csb0="00000000" w:csb1="00000000"/>
  </w:font>
  <w:font w:name="Didot-HTF-B06-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vantGarde-Demi">
    <w:altName w:val="Segoe Print"/>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3DA794"/>
    <w:multiLevelType w:val="singleLevel"/>
    <w:tmpl w:val="3E3DA794"/>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FiYTY4ODc3YTBjMzE5ODJjMGY4ZmM0ZjlhNjE3ZTAifQ=="/>
  </w:docVars>
  <w:rsids>
    <w:rsidRoot w:val="00000000"/>
    <w:rsid w:val="00220FF9"/>
    <w:rsid w:val="00CE37E1"/>
    <w:rsid w:val="00F1191B"/>
    <w:rsid w:val="012810B4"/>
    <w:rsid w:val="01DA060F"/>
    <w:rsid w:val="02223D56"/>
    <w:rsid w:val="02C5080A"/>
    <w:rsid w:val="044B7594"/>
    <w:rsid w:val="06942C12"/>
    <w:rsid w:val="083B16CD"/>
    <w:rsid w:val="087846CF"/>
    <w:rsid w:val="097F383C"/>
    <w:rsid w:val="09FB55B8"/>
    <w:rsid w:val="0ADF0A36"/>
    <w:rsid w:val="0C281F69"/>
    <w:rsid w:val="0EA0672E"/>
    <w:rsid w:val="0FA2765C"/>
    <w:rsid w:val="11DF131B"/>
    <w:rsid w:val="17773DA4"/>
    <w:rsid w:val="17BE7C25"/>
    <w:rsid w:val="19C90156"/>
    <w:rsid w:val="1B1C713C"/>
    <w:rsid w:val="1B913A8E"/>
    <w:rsid w:val="1D061E52"/>
    <w:rsid w:val="1D921938"/>
    <w:rsid w:val="24236509"/>
    <w:rsid w:val="260E6F69"/>
    <w:rsid w:val="264A7253"/>
    <w:rsid w:val="26CF7759"/>
    <w:rsid w:val="28F811E9"/>
    <w:rsid w:val="29633328"/>
    <w:rsid w:val="2B88437A"/>
    <w:rsid w:val="2D376058"/>
    <w:rsid w:val="304C5976"/>
    <w:rsid w:val="31C01038"/>
    <w:rsid w:val="33124DB8"/>
    <w:rsid w:val="34847DD4"/>
    <w:rsid w:val="34C5219B"/>
    <w:rsid w:val="36055CAE"/>
    <w:rsid w:val="366D71EF"/>
    <w:rsid w:val="36904A32"/>
    <w:rsid w:val="37B87D95"/>
    <w:rsid w:val="3965271A"/>
    <w:rsid w:val="399430B5"/>
    <w:rsid w:val="3AE710BD"/>
    <w:rsid w:val="3C7713A1"/>
    <w:rsid w:val="3DE713D4"/>
    <w:rsid w:val="3E021D6A"/>
    <w:rsid w:val="3E260FAD"/>
    <w:rsid w:val="3EB97EC7"/>
    <w:rsid w:val="3F9B78C1"/>
    <w:rsid w:val="423170C2"/>
    <w:rsid w:val="4454221B"/>
    <w:rsid w:val="445A0232"/>
    <w:rsid w:val="47682E1C"/>
    <w:rsid w:val="47D06A35"/>
    <w:rsid w:val="48621D7C"/>
    <w:rsid w:val="4E9921E6"/>
    <w:rsid w:val="4F310701"/>
    <w:rsid w:val="4F697E9B"/>
    <w:rsid w:val="52E57838"/>
    <w:rsid w:val="54B0031A"/>
    <w:rsid w:val="57103ECE"/>
    <w:rsid w:val="574C0299"/>
    <w:rsid w:val="5A0E1D6B"/>
    <w:rsid w:val="5C9E392E"/>
    <w:rsid w:val="5EE017FC"/>
    <w:rsid w:val="5EF26FBB"/>
    <w:rsid w:val="5F8F74AA"/>
    <w:rsid w:val="5FE13A7D"/>
    <w:rsid w:val="607641C6"/>
    <w:rsid w:val="613876CD"/>
    <w:rsid w:val="61403D75"/>
    <w:rsid w:val="62D358FF"/>
    <w:rsid w:val="62FD472A"/>
    <w:rsid w:val="63585E05"/>
    <w:rsid w:val="63641857"/>
    <w:rsid w:val="665063AF"/>
    <w:rsid w:val="6809591F"/>
    <w:rsid w:val="69074555"/>
    <w:rsid w:val="6A635006"/>
    <w:rsid w:val="6AAD4C88"/>
    <w:rsid w:val="6BA574C6"/>
    <w:rsid w:val="6C616381"/>
    <w:rsid w:val="71704C61"/>
    <w:rsid w:val="71D90A58"/>
    <w:rsid w:val="738C66BA"/>
    <w:rsid w:val="746F0D71"/>
    <w:rsid w:val="74DC66FA"/>
    <w:rsid w:val="786D53DD"/>
    <w:rsid w:val="79DD296B"/>
    <w:rsid w:val="7A770E0E"/>
    <w:rsid w:val="7CC3658D"/>
    <w:rsid w:val="7F156363"/>
    <w:rsid w:val="7F4E1E83"/>
    <w:rsid w:val="7FFD1D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776</Words>
  <Characters>2196</Characters>
  <Lines>0</Lines>
  <Paragraphs>0</Paragraphs>
  <TotalTime>748</TotalTime>
  <ScaleCrop>false</ScaleCrop>
  <LinksUpToDate>false</LinksUpToDate>
  <CharactersWithSpaces>2517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 瓢虫菲菲 </cp:lastModifiedBy>
  <dcterms:modified xsi:type="dcterms:W3CDTF">2024-11-06T02:41:00Z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1F5B48CC34F14398A434667F85ABC174</vt:lpwstr>
  </property>
</Properties>
</file>