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7CF" w:rsidRPr="00C017CF" w:rsidRDefault="00C017CF" w:rsidP="00C017CF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小标宋_GBK" w:eastAsia="方正小标宋_GBK" w:cs="方正小标宋_GBK"/>
          <w:color w:val="920883"/>
          <w:kern w:val="0"/>
          <w:sz w:val="30"/>
          <w:szCs w:val="30"/>
          <w:lang w:val="zh-CN"/>
        </w:rPr>
      </w:pPr>
      <w:r w:rsidRPr="00C017CF">
        <w:rPr>
          <w:rFonts w:ascii="方正小标宋_GBK" w:eastAsia="方正小标宋_GBK" w:cs="方正小标宋_GBK" w:hint="eastAsia"/>
          <w:color w:val="920883"/>
          <w:kern w:val="0"/>
          <w:sz w:val="30"/>
          <w:szCs w:val="30"/>
          <w:lang w:val="zh-CN"/>
        </w:rPr>
        <w:t>外周血</w:t>
      </w:r>
      <w:r w:rsidRPr="00C017CF">
        <w:rPr>
          <w:rFonts w:ascii="方正小标宋_GBK" w:eastAsia="方正小标宋_GBK" w:cs="方正小标宋_GBK"/>
          <w:color w:val="920883"/>
          <w:kern w:val="0"/>
          <w:sz w:val="30"/>
          <w:szCs w:val="30"/>
          <w:lang w:val="zh-CN"/>
        </w:rPr>
        <w:t>IFN-</w:t>
      </w:r>
      <w:r w:rsidRPr="00C017CF">
        <w:rPr>
          <w:rFonts w:ascii="方正小标宋_GBK" w:eastAsia="方正小标宋_GBK" w:cs="方正小标宋_GBK" w:hint="eastAsia"/>
          <w:color w:val="920883"/>
          <w:kern w:val="0"/>
          <w:sz w:val="30"/>
          <w:szCs w:val="30"/>
          <w:lang w:val="zh-CN"/>
        </w:rPr>
        <w:t>γ、</w:t>
      </w:r>
      <w:r w:rsidRPr="00C017CF">
        <w:rPr>
          <w:rFonts w:ascii="方正小标宋_GBK" w:eastAsia="方正小标宋_GBK" w:cs="方正小标宋_GBK"/>
          <w:color w:val="920883"/>
          <w:kern w:val="0"/>
          <w:sz w:val="30"/>
          <w:szCs w:val="30"/>
          <w:lang w:val="zh-CN"/>
        </w:rPr>
        <w:t>IL-4</w:t>
      </w:r>
      <w:r w:rsidRPr="00C017CF">
        <w:rPr>
          <w:rFonts w:ascii="方正小标宋_GBK" w:eastAsia="方正小标宋_GBK" w:cs="方正小标宋_GBK" w:hint="eastAsia"/>
          <w:color w:val="920883"/>
          <w:kern w:val="0"/>
          <w:sz w:val="30"/>
          <w:szCs w:val="30"/>
          <w:lang w:val="zh-CN"/>
        </w:rPr>
        <w:t>及</w:t>
      </w:r>
      <w:r w:rsidRPr="00C017CF">
        <w:rPr>
          <w:rFonts w:ascii="方正小标宋_GBK" w:eastAsia="方正小标宋_GBK" w:cs="方正小标宋_GBK"/>
          <w:color w:val="920883"/>
          <w:kern w:val="0"/>
          <w:sz w:val="30"/>
          <w:szCs w:val="30"/>
          <w:lang w:val="zh-CN"/>
        </w:rPr>
        <w:t>IFN-</w:t>
      </w:r>
      <w:r w:rsidRPr="00C017CF">
        <w:rPr>
          <w:rFonts w:ascii="方正小标宋_GBK" w:eastAsia="方正小标宋_GBK" w:cs="方正小标宋_GBK" w:hint="eastAsia"/>
          <w:color w:val="920883"/>
          <w:kern w:val="0"/>
          <w:sz w:val="30"/>
          <w:szCs w:val="30"/>
          <w:lang w:val="zh-CN"/>
        </w:rPr>
        <w:t>γ</w:t>
      </w:r>
      <w:r w:rsidRPr="00C017CF">
        <w:rPr>
          <w:rFonts w:ascii="方正小标宋_GBK" w:eastAsia="方正小标宋_GBK" w:cs="方正小标宋_GBK"/>
          <w:color w:val="920883"/>
          <w:kern w:val="0"/>
          <w:sz w:val="30"/>
          <w:szCs w:val="30"/>
          <w:lang w:val="zh-CN"/>
        </w:rPr>
        <w:t>/IL-4</w:t>
      </w:r>
      <w:r w:rsidRPr="00C017CF">
        <w:rPr>
          <w:rFonts w:ascii="方正小标宋_GBK" w:eastAsia="方正小标宋_GBK" w:cs="方正小标宋_GBK" w:hint="eastAsia"/>
          <w:color w:val="920883"/>
          <w:kern w:val="0"/>
          <w:sz w:val="30"/>
          <w:szCs w:val="30"/>
          <w:lang w:val="zh-CN"/>
        </w:rPr>
        <w:t>比值与急性湿疹皮损程度的关系及对短期疗效的预测价值</w:t>
      </w:r>
    </w:p>
    <w:p w:rsidR="00C017CF" w:rsidRPr="00C017CF" w:rsidRDefault="00C017CF" w:rsidP="00C017CF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</w:pPr>
      <w:r w:rsidRPr="00C017CF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王</w:t>
      </w:r>
      <w:r w:rsidRPr="00C017CF"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  <w:t xml:space="preserve"> </w:t>
      </w:r>
      <w:r w:rsidRPr="00C017CF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岩，高存志，翁</w:t>
      </w:r>
      <w:r w:rsidRPr="00C017CF"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  <w:t xml:space="preserve"> </w:t>
      </w:r>
      <w:r w:rsidRPr="00C017CF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志</w:t>
      </w:r>
    </w:p>
    <w:p w:rsidR="00C017CF" w:rsidRPr="00C017CF" w:rsidRDefault="00C017CF" w:rsidP="00C017CF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</w:pPr>
      <w:r w:rsidRPr="00C017CF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（河北省秦皇岛市中医医院</w:t>
      </w:r>
      <w:r w:rsidRPr="00C017CF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</w:t>
      </w:r>
      <w:r w:rsidRPr="00C017CF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河北</w:t>
      </w:r>
      <w:r w:rsidRPr="00C017CF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</w:t>
      </w:r>
      <w:r w:rsidRPr="00C017CF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秦皇岛</w:t>
      </w:r>
      <w:r w:rsidRPr="00C017CF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066000</w:t>
      </w:r>
      <w:r w:rsidRPr="00C017CF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）</w:t>
      </w:r>
    </w:p>
    <w:p w:rsidR="00C017CF" w:rsidRPr="00C017CF" w:rsidRDefault="00C017CF" w:rsidP="00C017CF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C017CF">
        <w:rPr>
          <w:rFonts w:ascii="黑体" w:eastAsia="黑体" w:cs="黑体"/>
          <w:color w:val="000000"/>
          <w:kern w:val="0"/>
          <w:sz w:val="18"/>
          <w:lang w:val="zh-CN"/>
        </w:rPr>
        <w:t>[</w:t>
      </w:r>
      <w:r w:rsidRPr="00C017CF">
        <w:rPr>
          <w:rFonts w:ascii="黑体" w:eastAsia="黑体" w:cs="黑体" w:hint="eastAsia"/>
          <w:color w:val="000000"/>
          <w:kern w:val="0"/>
          <w:sz w:val="18"/>
          <w:lang w:val="zh-CN"/>
        </w:rPr>
        <w:t>摘要</w:t>
      </w:r>
      <w:r w:rsidRPr="00C017CF">
        <w:rPr>
          <w:rFonts w:ascii="黑体" w:eastAsia="黑体" w:cs="黑体"/>
          <w:color w:val="000000"/>
          <w:kern w:val="0"/>
          <w:sz w:val="18"/>
          <w:lang w:val="zh-CN"/>
        </w:rPr>
        <w:t>]</w:t>
      </w:r>
      <w:r w:rsidRPr="00C017CF">
        <w:rPr>
          <w:rFonts w:ascii="黑体" w:eastAsia="黑体" w:cs="黑体" w:hint="eastAsia"/>
          <w:color w:val="000000"/>
          <w:kern w:val="0"/>
          <w:sz w:val="18"/>
          <w:lang w:val="zh-CN"/>
        </w:rPr>
        <w:t>目的：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研究外周血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γ、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及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/IL-4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比值与急性湿疹皮损程度的相关性，并分析其预测急性湿疹短期疗效的临床价值。</w:t>
      </w:r>
      <w:r w:rsidRPr="00C017CF">
        <w:rPr>
          <w:rFonts w:ascii="黑体" w:eastAsia="黑体" w:cs="黑体" w:hint="eastAsia"/>
          <w:color w:val="000000"/>
          <w:kern w:val="0"/>
          <w:sz w:val="18"/>
          <w:lang w:val="zh-CN"/>
        </w:rPr>
        <w:t>方法：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回顾性分析笔者医院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126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例急性湿疹患者的临床资料，根据湿疹面积及严重度指数（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EASI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）评分将患者分为＜</w:t>
      </w:r>
      <w:r w:rsidRPr="00C017CF">
        <w:rPr>
          <w:rFonts w:ascii="楷体_GB2312" w:eastAsia="楷体_GB2312" w:cs="楷体_GB2312"/>
          <w:color w:val="000000"/>
          <w:spacing w:val="4"/>
          <w:kern w:val="0"/>
          <w:sz w:val="18"/>
          <w:szCs w:val="18"/>
          <w:lang w:val="zh-CN"/>
        </w:rPr>
        <w:t>10</w:t>
      </w:r>
      <w:r w:rsidRPr="00C017CF">
        <w:rPr>
          <w:rFonts w:ascii="楷体_GB2312" w:eastAsia="楷体_GB2312" w:cs="楷体_GB2312" w:hint="eastAsia"/>
          <w:color w:val="000000"/>
          <w:spacing w:val="4"/>
          <w:kern w:val="0"/>
          <w:sz w:val="18"/>
          <w:szCs w:val="18"/>
          <w:lang w:val="zh-CN"/>
        </w:rPr>
        <w:t>分组（</w:t>
      </w:r>
      <w:r w:rsidRPr="00C017CF">
        <w:rPr>
          <w:rFonts w:ascii="楷体_GB2312" w:eastAsia="楷体_GB2312" w:cs="楷体_GB2312"/>
          <w:color w:val="000000"/>
          <w:spacing w:val="4"/>
          <w:kern w:val="0"/>
          <w:sz w:val="18"/>
          <w:szCs w:val="18"/>
          <w:lang w:val="zh-CN"/>
        </w:rPr>
        <w:t>n=36</w:t>
      </w:r>
      <w:r w:rsidRPr="00C017CF">
        <w:rPr>
          <w:rFonts w:ascii="楷体_GB2312" w:eastAsia="楷体_GB2312" w:cs="楷体_GB2312" w:hint="eastAsia"/>
          <w:color w:val="000000"/>
          <w:spacing w:val="4"/>
          <w:kern w:val="0"/>
          <w:sz w:val="18"/>
          <w:szCs w:val="18"/>
          <w:lang w:val="zh-CN"/>
        </w:rPr>
        <w:t>）、</w:t>
      </w:r>
      <w:r w:rsidRPr="00C017CF">
        <w:rPr>
          <w:rFonts w:ascii="楷体_GB2312" w:eastAsia="楷体_GB2312" w:cs="楷体_GB2312"/>
          <w:color w:val="000000"/>
          <w:spacing w:val="4"/>
          <w:kern w:val="0"/>
          <w:sz w:val="18"/>
          <w:szCs w:val="18"/>
          <w:lang w:val="zh-CN"/>
        </w:rPr>
        <w:t>10</w:t>
      </w:r>
      <w:r w:rsidRPr="00C017CF">
        <w:rPr>
          <w:rFonts w:ascii="楷体_GB2312" w:eastAsia="楷体_GB2312" w:cs="楷体_GB2312" w:hint="eastAsia"/>
          <w:color w:val="000000"/>
          <w:spacing w:val="4"/>
          <w:kern w:val="0"/>
          <w:sz w:val="18"/>
          <w:szCs w:val="18"/>
          <w:lang w:val="zh-CN"/>
        </w:rPr>
        <w:t>～</w:t>
      </w:r>
      <w:r w:rsidRPr="00C017CF">
        <w:rPr>
          <w:rFonts w:ascii="楷体_GB2312" w:eastAsia="楷体_GB2312" w:cs="楷体_GB2312"/>
          <w:color w:val="000000"/>
          <w:spacing w:val="4"/>
          <w:kern w:val="0"/>
          <w:sz w:val="18"/>
          <w:szCs w:val="18"/>
          <w:lang w:val="zh-CN"/>
        </w:rPr>
        <w:t>20</w:t>
      </w:r>
      <w:r w:rsidRPr="00C017CF">
        <w:rPr>
          <w:rFonts w:ascii="楷体_GB2312" w:eastAsia="楷体_GB2312" w:cs="楷体_GB2312" w:hint="eastAsia"/>
          <w:color w:val="000000"/>
          <w:spacing w:val="4"/>
          <w:kern w:val="0"/>
          <w:sz w:val="18"/>
          <w:szCs w:val="18"/>
          <w:lang w:val="zh-CN"/>
        </w:rPr>
        <w:t>分组（</w:t>
      </w:r>
      <w:r w:rsidRPr="00C017CF">
        <w:rPr>
          <w:rFonts w:ascii="楷体_GB2312" w:eastAsia="楷体_GB2312" w:cs="楷体_GB2312"/>
          <w:color w:val="000000"/>
          <w:spacing w:val="4"/>
          <w:kern w:val="0"/>
          <w:sz w:val="18"/>
          <w:szCs w:val="18"/>
          <w:lang w:val="zh-CN"/>
        </w:rPr>
        <w:t>n=66</w:t>
      </w:r>
      <w:r w:rsidRPr="00C017CF">
        <w:rPr>
          <w:rFonts w:ascii="楷体_GB2312" w:eastAsia="楷体_GB2312" w:cs="楷体_GB2312" w:hint="eastAsia"/>
          <w:color w:val="000000"/>
          <w:spacing w:val="4"/>
          <w:kern w:val="0"/>
          <w:sz w:val="18"/>
          <w:szCs w:val="18"/>
          <w:lang w:val="zh-CN"/>
        </w:rPr>
        <w:t>）、＞</w:t>
      </w:r>
      <w:r w:rsidRPr="00C017CF">
        <w:rPr>
          <w:rFonts w:ascii="楷体_GB2312" w:eastAsia="楷体_GB2312" w:cs="楷体_GB2312"/>
          <w:color w:val="000000"/>
          <w:spacing w:val="4"/>
          <w:kern w:val="0"/>
          <w:sz w:val="18"/>
          <w:szCs w:val="18"/>
          <w:lang w:val="zh-CN"/>
        </w:rPr>
        <w:t>20</w:t>
      </w:r>
      <w:r w:rsidRPr="00C017CF">
        <w:rPr>
          <w:rFonts w:ascii="楷体_GB2312" w:eastAsia="楷体_GB2312" w:cs="楷体_GB2312" w:hint="eastAsia"/>
          <w:color w:val="000000"/>
          <w:spacing w:val="4"/>
          <w:kern w:val="0"/>
          <w:sz w:val="18"/>
          <w:szCs w:val="18"/>
          <w:lang w:val="zh-CN"/>
        </w:rPr>
        <w:t>分组（</w:t>
      </w:r>
      <w:r w:rsidRPr="00C017CF">
        <w:rPr>
          <w:rFonts w:ascii="楷体_GB2312" w:eastAsia="楷体_GB2312" w:cs="楷体_GB2312"/>
          <w:color w:val="000000"/>
          <w:spacing w:val="4"/>
          <w:kern w:val="0"/>
          <w:sz w:val="18"/>
          <w:szCs w:val="18"/>
          <w:lang w:val="zh-CN"/>
        </w:rPr>
        <w:t>n=24</w:t>
      </w:r>
      <w:r w:rsidRPr="00C017CF">
        <w:rPr>
          <w:rFonts w:ascii="楷体_GB2312" w:eastAsia="楷体_GB2312" w:cs="楷体_GB2312" w:hint="eastAsia"/>
          <w:color w:val="000000"/>
          <w:spacing w:val="4"/>
          <w:kern w:val="0"/>
          <w:sz w:val="18"/>
          <w:szCs w:val="18"/>
          <w:lang w:val="zh-CN"/>
        </w:rPr>
        <w:t>）。观察患者短期治疗效果，根据疗效将患者分为有效组（</w:t>
      </w:r>
      <w:r w:rsidRPr="00C017CF">
        <w:rPr>
          <w:rFonts w:ascii="楷体_GB2312" w:eastAsia="楷体_GB2312" w:cs="楷体_GB2312"/>
          <w:color w:val="000000"/>
          <w:spacing w:val="4"/>
          <w:kern w:val="0"/>
          <w:sz w:val="18"/>
          <w:szCs w:val="18"/>
          <w:lang w:val="zh-CN"/>
        </w:rPr>
        <w:t>n=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）和无效组（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n=102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）。收集患者一般资料及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γ、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、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/IL-4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水平，分析外周血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γ、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及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/IL-4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比值与急性湿疹皮损程度的关系及对短期疗效的预测价值。</w:t>
      </w:r>
      <w:r w:rsidRPr="00C017CF">
        <w:rPr>
          <w:rFonts w:ascii="黑体" w:eastAsia="黑体" w:cs="黑体" w:hint="eastAsia"/>
          <w:color w:val="000000"/>
          <w:kern w:val="0"/>
          <w:sz w:val="18"/>
          <w:lang w:val="zh-CN"/>
        </w:rPr>
        <w:t>结果：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EASI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评分＞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20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分组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γ、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/IL-4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水平显著低于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EASI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评分＜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10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分和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10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～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20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分组，差异有统计学意义（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0.05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），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水平显著高于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EASI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评分＜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10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分和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10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～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20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分组（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0.05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）；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EASI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评分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10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～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20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分组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γ、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/IL-4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水平显著低于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EASI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评分＜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10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分组（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0.05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），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水平显著高于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EASI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评分＜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10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分组（</w:t>
      </w:r>
      <w:r w:rsidRPr="00C017CF">
        <w:rPr>
          <w:rFonts w:ascii="楷体_GB2312" w:eastAsia="楷体_GB2312" w:cs="楷体_GB2312"/>
          <w:color w:val="000000"/>
          <w:spacing w:val="-4"/>
          <w:kern w:val="0"/>
          <w:sz w:val="18"/>
          <w:szCs w:val="18"/>
          <w:lang w:val="zh-CN"/>
        </w:rPr>
        <w:t>P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＜</w:t>
      </w:r>
      <w:r w:rsidRPr="00C017CF">
        <w:rPr>
          <w:rFonts w:ascii="楷体_GB2312" w:eastAsia="楷体_GB2312" w:cs="楷体_GB2312"/>
          <w:color w:val="000000"/>
          <w:spacing w:val="-4"/>
          <w:kern w:val="0"/>
          <w:sz w:val="18"/>
          <w:szCs w:val="18"/>
          <w:lang w:val="zh-CN"/>
        </w:rPr>
        <w:t>0.05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）。急性湿疹患者</w:t>
      </w:r>
      <w:r w:rsidRPr="00C017CF">
        <w:rPr>
          <w:rFonts w:ascii="楷体_GB2312" w:eastAsia="楷体_GB2312" w:cs="楷体_GB2312"/>
          <w:color w:val="000000"/>
          <w:spacing w:val="-4"/>
          <w:kern w:val="0"/>
          <w:sz w:val="18"/>
          <w:szCs w:val="18"/>
          <w:lang w:val="zh-CN"/>
        </w:rPr>
        <w:t>EASI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评分与外周血</w:t>
      </w:r>
      <w:r w:rsidRPr="00C017CF">
        <w:rPr>
          <w:rFonts w:ascii="楷体_GB2312" w:eastAsia="楷体_GB2312" w:cs="楷体_GB2312"/>
          <w:color w:val="000000"/>
          <w:spacing w:val="-4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γ及</w:t>
      </w:r>
      <w:r w:rsidRPr="00C017CF">
        <w:rPr>
          <w:rFonts w:ascii="楷体_GB2312" w:eastAsia="楷体_GB2312" w:cs="楷体_GB2312"/>
          <w:color w:val="000000"/>
          <w:spacing w:val="-4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γ</w:t>
      </w:r>
      <w:r w:rsidRPr="00C017CF">
        <w:rPr>
          <w:rFonts w:ascii="楷体_GB2312" w:eastAsia="楷体_GB2312" w:cs="楷体_GB2312"/>
          <w:color w:val="000000"/>
          <w:spacing w:val="-4"/>
          <w:kern w:val="0"/>
          <w:sz w:val="18"/>
          <w:szCs w:val="18"/>
          <w:lang w:val="zh-CN"/>
        </w:rPr>
        <w:t>/IL-4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比值呈负相关（</w:t>
      </w:r>
      <w:r w:rsidRPr="00C017CF">
        <w:rPr>
          <w:rFonts w:ascii="楷体_GB2312" w:eastAsia="楷体_GB2312" w:cs="楷体_GB2312"/>
          <w:color w:val="000000"/>
          <w:spacing w:val="-4"/>
          <w:kern w:val="0"/>
          <w:sz w:val="18"/>
          <w:szCs w:val="18"/>
          <w:lang w:val="zh-CN"/>
        </w:rPr>
        <w:t>P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＜</w:t>
      </w:r>
      <w:r w:rsidRPr="00C017CF">
        <w:rPr>
          <w:rFonts w:ascii="楷体_GB2312" w:eastAsia="楷体_GB2312" w:cs="楷体_GB2312"/>
          <w:color w:val="000000"/>
          <w:spacing w:val="-4"/>
          <w:kern w:val="0"/>
          <w:sz w:val="18"/>
          <w:szCs w:val="18"/>
          <w:lang w:val="zh-CN"/>
        </w:rPr>
        <w:t>0.05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），与</w:t>
      </w:r>
      <w:r w:rsidRPr="00C017CF">
        <w:rPr>
          <w:rFonts w:ascii="楷体_GB2312" w:eastAsia="楷体_GB2312" w:cs="楷体_GB2312"/>
          <w:color w:val="000000"/>
          <w:spacing w:val="-4"/>
          <w:kern w:val="0"/>
          <w:sz w:val="18"/>
          <w:szCs w:val="18"/>
          <w:lang w:val="zh-CN"/>
        </w:rPr>
        <w:t>IL-4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呈正相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关（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0.05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）。无效组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水平及焦虑患者占比均显著高于有效组（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0.05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），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γ、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/IL-4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水平均显著低于有效组（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0.05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）。多因素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Logistic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回归分析显示，焦虑、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γ、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、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/IL-4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是急性湿疹短期疗效的独立影响因素（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0.05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。</w:t>
      </w:r>
      <w:r w:rsidRPr="00C017CF">
        <w:rPr>
          <w:rFonts w:ascii="楷体_GB2312" w:eastAsia="楷体_GB2312" w:cs="楷体_GB2312"/>
          <w:color w:val="000000"/>
          <w:spacing w:val="-4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γ、</w:t>
      </w:r>
      <w:r w:rsidRPr="00C017CF">
        <w:rPr>
          <w:rFonts w:ascii="楷体_GB2312" w:eastAsia="楷体_GB2312" w:cs="楷体_GB2312"/>
          <w:color w:val="000000"/>
          <w:spacing w:val="-4"/>
          <w:kern w:val="0"/>
          <w:sz w:val="18"/>
          <w:szCs w:val="18"/>
          <w:lang w:val="zh-CN"/>
        </w:rPr>
        <w:t>IL-4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及</w:t>
      </w:r>
      <w:r w:rsidRPr="00C017CF">
        <w:rPr>
          <w:rFonts w:ascii="楷体_GB2312" w:eastAsia="楷体_GB2312" w:cs="楷体_GB2312"/>
          <w:color w:val="000000"/>
          <w:spacing w:val="-4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γ</w:t>
      </w:r>
      <w:r w:rsidRPr="00C017CF">
        <w:rPr>
          <w:rFonts w:ascii="楷体_GB2312" w:eastAsia="楷体_GB2312" w:cs="楷体_GB2312"/>
          <w:color w:val="000000"/>
          <w:spacing w:val="-4"/>
          <w:kern w:val="0"/>
          <w:sz w:val="18"/>
          <w:szCs w:val="18"/>
          <w:lang w:val="zh-CN"/>
        </w:rPr>
        <w:t>/IL-4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联合预测急性湿疹短期疗效的灵敏度为</w:t>
      </w:r>
      <w:r w:rsidRPr="00C017CF">
        <w:rPr>
          <w:rFonts w:ascii="楷体_GB2312" w:eastAsia="楷体_GB2312" w:cs="楷体_GB2312"/>
          <w:color w:val="000000"/>
          <w:spacing w:val="-4"/>
          <w:kern w:val="0"/>
          <w:sz w:val="18"/>
          <w:szCs w:val="18"/>
          <w:lang w:val="zh-CN"/>
        </w:rPr>
        <w:t>0.921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、特异度</w:t>
      </w:r>
      <w:r w:rsidRPr="00C017CF">
        <w:rPr>
          <w:rFonts w:ascii="楷体_GB2312" w:eastAsia="楷体_GB2312" w:cs="楷体_GB2312"/>
          <w:color w:val="000000"/>
          <w:spacing w:val="-4"/>
          <w:kern w:val="0"/>
          <w:sz w:val="18"/>
          <w:szCs w:val="18"/>
          <w:lang w:val="zh-CN"/>
        </w:rPr>
        <w:t>0.833</w:t>
      </w:r>
      <w:r w:rsidRPr="00C017CF">
        <w:rPr>
          <w:rFonts w:ascii="楷体_GB2312" w:eastAsia="楷体_GB2312" w:cs="楷体_GB2312" w:hint="eastAsia"/>
          <w:color w:val="000000"/>
          <w:spacing w:val="-4"/>
          <w:kern w:val="0"/>
          <w:sz w:val="18"/>
          <w:szCs w:val="18"/>
          <w:lang w:val="zh-CN"/>
        </w:rPr>
        <w:t>。</w:t>
      </w:r>
      <w:r w:rsidRPr="00C017CF">
        <w:rPr>
          <w:rFonts w:ascii="黑体" w:eastAsia="黑体" w:cs="黑体" w:hint="eastAsia"/>
          <w:color w:val="000000"/>
          <w:spacing w:val="-4"/>
          <w:kern w:val="0"/>
          <w:sz w:val="18"/>
          <w:lang w:val="zh-CN"/>
        </w:rPr>
        <w:t>结</w:t>
      </w:r>
      <w:r w:rsidRPr="00C017CF">
        <w:rPr>
          <w:rFonts w:ascii="黑体" w:eastAsia="黑体" w:cs="黑体" w:hint="eastAsia"/>
          <w:color w:val="000000"/>
          <w:kern w:val="0"/>
          <w:sz w:val="18"/>
          <w:lang w:val="zh-CN"/>
        </w:rPr>
        <w:t>论：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外周血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γ、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及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/IL-4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比值与急性湿疹皮损程度存在显著相关性，且对患者短期疗效具有一定预测价值。</w:t>
      </w:r>
    </w:p>
    <w:p w:rsidR="00C017CF" w:rsidRPr="00C017CF" w:rsidRDefault="00C017CF" w:rsidP="00C017CF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C017CF">
        <w:rPr>
          <w:rFonts w:ascii="黑体" w:eastAsia="黑体" w:cs="黑体"/>
          <w:color w:val="000000"/>
          <w:kern w:val="0"/>
          <w:sz w:val="18"/>
          <w:lang w:val="zh-CN"/>
        </w:rPr>
        <w:t>[</w:t>
      </w:r>
      <w:r w:rsidRPr="00C017CF">
        <w:rPr>
          <w:rFonts w:ascii="黑体" w:eastAsia="黑体" w:cs="黑体" w:hint="eastAsia"/>
          <w:color w:val="000000"/>
          <w:kern w:val="0"/>
          <w:sz w:val="18"/>
          <w:lang w:val="zh-CN"/>
        </w:rPr>
        <w:t>关键词</w:t>
      </w:r>
      <w:r w:rsidRPr="00C017CF">
        <w:rPr>
          <w:rFonts w:ascii="黑体" w:eastAsia="黑体" w:cs="黑体"/>
          <w:color w:val="000000"/>
          <w:kern w:val="0"/>
          <w:sz w:val="18"/>
          <w:lang w:val="zh-CN"/>
        </w:rPr>
        <w:t>]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IFN-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γ；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IL-4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；湿疹；湿疹面积和严重程度指数评分；短期疗效；皮损</w:t>
      </w:r>
    </w:p>
    <w:p w:rsidR="00C017CF" w:rsidRPr="00C017CF" w:rsidRDefault="00C017CF" w:rsidP="00C017CF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C017CF">
        <w:rPr>
          <w:rFonts w:ascii="黑体" w:eastAsia="黑体" w:cs="黑体"/>
          <w:color w:val="000000"/>
          <w:kern w:val="0"/>
          <w:sz w:val="18"/>
          <w:lang w:val="zh-CN"/>
        </w:rPr>
        <w:t>[</w:t>
      </w:r>
      <w:r w:rsidRPr="00C017CF">
        <w:rPr>
          <w:rFonts w:ascii="黑体" w:eastAsia="黑体" w:cs="黑体" w:hint="eastAsia"/>
          <w:color w:val="000000"/>
          <w:kern w:val="0"/>
          <w:sz w:val="18"/>
          <w:lang w:val="zh-CN"/>
        </w:rPr>
        <w:t>中图分类号</w:t>
      </w:r>
      <w:r w:rsidRPr="00C017CF">
        <w:rPr>
          <w:rFonts w:ascii="黑体" w:eastAsia="黑体" w:cs="黑体"/>
          <w:color w:val="000000"/>
          <w:kern w:val="0"/>
          <w:sz w:val="18"/>
          <w:lang w:val="zh-CN"/>
        </w:rPr>
        <w:t>]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 xml:space="preserve">    </w:t>
      </w:r>
      <w:r w:rsidRPr="00C017CF">
        <w:rPr>
          <w:rFonts w:ascii="黑体" w:eastAsia="黑体" w:cs="黑体"/>
          <w:color w:val="000000"/>
          <w:kern w:val="0"/>
          <w:sz w:val="18"/>
          <w:lang w:val="zh-CN"/>
        </w:rPr>
        <w:t>[</w:t>
      </w:r>
      <w:r w:rsidRPr="00C017CF">
        <w:rPr>
          <w:rFonts w:ascii="黑体" w:eastAsia="黑体" w:cs="黑体" w:hint="eastAsia"/>
          <w:color w:val="000000"/>
          <w:kern w:val="0"/>
          <w:sz w:val="18"/>
          <w:lang w:val="zh-CN"/>
        </w:rPr>
        <w:t>文献标志码</w:t>
      </w:r>
      <w:r w:rsidRPr="00C017CF">
        <w:rPr>
          <w:rFonts w:ascii="黑体" w:eastAsia="黑体" w:cs="黑体"/>
          <w:color w:val="000000"/>
          <w:kern w:val="0"/>
          <w:sz w:val="18"/>
          <w:lang w:val="zh-CN"/>
        </w:rPr>
        <w:t>]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 xml:space="preserve">A    </w:t>
      </w:r>
      <w:r w:rsidRPr="00C017CF">
        <w:rPr>
          <w:rFonts w:ascii="黑体" w:eastAsia="黑体" w:cs="黑体"/>
          <w:color w:val="000000"/>
          <w:kern w:val="0"/>
          <w:sz w:val="18"/>
          <w:lang w:val="zh-CN"/>
        </w:rPr>
        <w:t>[</w:t>
      </w:r>
      <w:r w:rsidRPr="00C017CF">
        <w:rPr>
          <w:rFonts w:ascii="黑体" w:eastAsia="黑体" w:cs="黑体" w:hint="eastAsia"/>
          <w:color w:val="000000"/>
          <w:kern w:val="0"/>
          <w:sz w:val="18"/>
          <w:lang w:val="zh-CN"/>
        </w:rPr>
        <w:t>文章编号</w:t>
      </w:r>
      <w:r w:rsidRPr="00C017CF">
        <w:rPr>
          <w:rFonts w:ascii="黑体" w:eastAsia="黑体" w:cs="黑体"/>
          <w:color w:val="000000"/>
          <w:kern w:val="0"/>
          <w:sz w:val="18"/>
          <w:lang w:val="zh-CN"/>
        </w:rPr>
        <w:t>]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1008-6455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（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2022</w:t>
      </w:r>
      <w:r w:rsidRPr="00C017C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</w:t>
      </w:r>
      <w:r w:rsidRPr="00C017C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01-0093-04</w:t>
      </w:r>
    </w:p>
    <w:p w:rsidR="00C017CF" w:rsidRPr="00C017CF" w:rsidRDefault="00C017CF" w:rsidP="00C017CF">
      <w:pPr>
        <w:autoSpaceDE w:val="0"/>
        <w:autoSpaceDN w:val="0"/>
        <w:adjustRightInd w:val="0"/>
        <w:spacing w:line="320" w:lineRule="atLeast"/>
        <w:jc w:val="center"/>
        <w:textAlignment w:val="center"/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  <w:lang w:val="zh-CN"/>
        </w:rPr>
      </w:pPr>
    </w:p>
    <w:p w:rsidR="00C017CF" w:rsidRPr="00C017CF" w:rsidRDefault="00C017CF" w:rsidP="00C017CF">
      <w:pPr>
        <w:autoSpaceDE w:val="0"/>
        <w:autoSpaceDN w:val="0"/>
        <w:adjustRightInd w:val="0"/>
        <w:spacing w:line="320" w:lineRule="atLeast"/>
        <w:jc w:val="center"/>
        <w:textAlignment w:val="center"/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</w:rPr>
      </w:pPr>
      <w:r w:rsidRPr="00C017CF"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</w:rPr>
        <w:t>Relationship between Peripheral Blood IFN-</w:t>
      </w:r>
      <w:r w:rsidRPr="00C017CF">
        <w:rPr>
          <w:rFonts w:ascii="方正兰亭中黑_GBK" w:eastAsia="方正兰亭中黑_GBK" w:hAnsi="ITC Avant Garde Gothic Demi" w:cs="方正兰亭中黑_GBK" w:hint="eastAsia"/>
          <w:color w:val="920883"/>
          <w:kern w:val="0"/>
          <w:sz w:val="24"/>
          <w:szCs w:val="24"/>
          <w:lang w:val="zh-CN"/>
        </w:rPr>
        <w:t>γ</w:t>
      </w:r>
      <w:r w:rsidRPr="00C017CF"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</w:rPr>
        <w:t>,IL-4 and IFN-</w:t>
      </w:r>
      <w:r w:rsidRPr="00C017CF">
        <w:rPr>
          <w:rFonts w:ascii="方正兰亭中黑_GBK" w:eastAsia="方正兰亭中黑_GBK" w:hAnsi="ITC Avant Garde Gothic Demi" w:cs="方正兰亭中黑_GBK" w:hint="eastAsia"/>
          <w:color w:val="920883"/>
          <w:kern w:val="0"/>
          <w:sz w:val="24"/>
          <w:szCs w:val="24"/>
          <w:lang w:val="zh-CN"/>
        </w:rPr>
        <w:t>γ</w:t>
      </w:r>
      <w:r w:rsidRPr="00C017CF"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</w:rPr>
        <w:t>/IL-4 Ratio and the Severity of Acute Eczema and Their Predictive Value for Short-term Efficacy</w:t>
      </w:r>
    </w:p>
    <w:p w:rsidR="00C017CF" w:rsidRPr="00C017CF" w:rsidRDefault="00C017CF" w:rsidP="00C017CF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</w:pPr>
      <w:r w:rsidRPr="00C017CF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 xml:space="preserve">WANG </w:t>
      </w:r>
      <w:proofErr w:type="spellStart"/>
      <w:r w:rsidRPr="00C017CF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Yan,GAO</w:t>
      </w:r>
      <w:proofErr w:type="spellEnd"/>
      <w:r w:rsidRPr="00C017CF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 xml:space="preserve"> </w:t>
      </w:r>
      <w:proofErr w:type="spellStart"/>
      <w:r w:rsidRPr="00C017CF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Cunzhi,WENG</w:t>
      </w:r>
      <w:proofErr w:type="spellEnd"/>
      <w:r w:rsidRPr="00C017CF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 xml:space="preserve"> </w:t>
      </w:r>
      <w:proofErr w:type="spellStart"/>
      <w:r w:rsidRPr="00C017CF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Zhi</w:t>
      </w:r>
      <w:proofErr w:type="spellEnd"/>
    </w:p>
    <w:p w:rsidR="00C017CF" w:rsidRPr="00C017CF" w:rsidRDefault="00C017CF" w:rsidP="00C017CF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  <w:r w:rsidRPr="00C017CF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(Qinhuangdao Hospital of Traditional Chinese </w:t>
      </w:r>
      <w:proofErr w:type="spellStart"/>
      <w:r w:rsidRPr="00C017CF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Medicine,Qinhuangdao</w:t>
      </w:r>
      <w:proofErr w:type="spellEnd"/>
      <w:r w:rsidRPr="00C017CF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066000,Hebei,China)</w:t>
      </w:r>
    </w:p>
    <w:p w:rsidR="00C017CF" w:rsidRPr="00C017CF" w:rsidRDefault="00C017CF" w:rsidP="00C017CF">
      <w:pPr>
        <w:autoSpaceDE w:val="0"/>
        <w:autoSpaceDN w:val="0"/>
        <w:adjustRightInd w:val="0"/>
        <w:spacing w:line="300" w:lineRule="atLeast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</w:p>
    <w:p w:rsidR="00C017CF" w:rsidRPr="00C017CF" w:rsidRDefault="00C017CF" w:rsidP="00C017CF">
      <w:pPr>
        <w:pStyle w:val="ac"/>
        <w:rPr>
          <w:rFonts w:eastAsiaTheme="minorEastAsia"/>
          <w:lang w:val="en-US"/>
        </w:rPr>
      </w:pPr>
      <w:r w:rsidRPr="00C017CF">
        <w:rPr>
          <w:rFonts w:ascii="Didot HTF-B06-" w:hAnsi="Didot HTF-B06-" w:cs="Didot HTF-B06-"/>
          <w:b/>
          <w:bCs/>
          <w:lang w:val="en-US"/>
        </w:rPr>
        <w:t>Abstract: Objective</w:t>
      </w:r>
      <w:r w:rsidRPr="00C017CF">
        <w:rPr>
          <w:lang w:val="en-US"/>
        </w:rPr>
        <w:t xml:space="preserve"> Study peripheral blood IFN-</w:t>
      </w:r>
      <w:r w:rsidRPr="00C017CF">
        <w:t>γ</w:t>
      </w:r>
      <w:r w:rsidRPr="00C017CF">
        <w:rPr>
          <w:lang w:val="en-US"/>
        </w:rPr>
        <w:t>, IL-4 and IFN-</w:t>
      </w:r>
      <w:r w:rsidRPr="00C017CF">
        <w:t>γ</w:t>
      </w:r>
      <w:r w:rsidRPr="00C017CF">
        <w:rPr>
          <w:lang w:val="en-US"/>
        </w:rPr>
        <w:t xml:space="preserve">/IL-4 ratio and the degree of skin lesions in acute eczema, and its clinical value in predicting the short-term efficacy of acute eczema was analyzed. </w:t>
      </w:r>
      <w:r w:rsidRPr="00C017CF">
        <w:rPr>
          <w:rFonts w:ascii="Didot HTF-B06-" w:hAnsi="Didot HTF-B06-" w:cs="Didot HTF-B06-"/>
          <w:b/>
          <w:bCs/>
          <w:lang w:val="en-US"/>
        </w:rPr>
        <w:t xml:space="preserve">Methods </w:t>
      </w:r>
      <w:r w:rsidRPr="00C017CF">
        <w:rPr>
          <w:lang w:val="en-US"/>
        </w:rPr>
        <w:t xml:space="preserve">The clinical data of 126 patients with acute eczema in the author’s hospital were retrospectively analyzed. According to the Eczema Area and Severity Index (EASI) score, patients were divided into </w:t>
      </w:r>
      <w:r w:rsidRPr="00C017CF">
        <w:rPr>
          <w:rFonts w:ascii="宋体" w:eastAsia="宋体" w:cs="宋体" w:hint="eastAsia"/>
          <w:lang w:val="en-US"/>
        </w:rPr>
        <w:t>＜</w:t>
      </w:r>
      <w:r w:rsidRPr="00C017CF">
        <w:rPr>
          <w:lang w:val="en-US"/>
        </w:rPr>
        <w:t xml:space="preserve">10 groups (n=36), 10 to 20 groups (n=66), and </w:t>
      </w:r>
      <w:r w:rsidRPr="00C017CF">
        <w:rPr>
          <w:rFonts w:ascii="宋体" w:eastAsia="宋体" w:cs="宋体" w:hint="eastAsia"/>
          <w:lang w:val="en-US"/>
        </w:rPr>
        <w:t>＞</w:t>
      </w:r>
      <w:r w:rsidRPr="00C017CF">
        <w:rPr>
          <w:lang w:val="en-US"/>
        </w:rPr>
        <w:t>20 groups (n=24). Observe the short-term treatment effect of patients, and divide the patients into effective group (n=24) and ineffective group (n=102) according to the curative effect. Collect patients’ general data and levels of IFN-</w:t>
      </w:r>
      <w:r w:rsidRPr="00C017CF">
        <w:t>γ</w:t>
      </w:r>
      <w:r w:rsidRPr="00C017CF">
        <w:rPr>
          <w:lang w:val="en-US"/>
        </w:rPr>
        <w:t>, IL-4, IFN-</w:t>
      </w:r>
      <w:r w:rsidRPr="00C017CF">
        <w:t>γ</w:t>
      </w:r>
      <w:r w:rsidRPr="00C017CF">
        <w:rPr>
          <w:lang w:val="en-US"/>
        </w:rPr>
        <w:t>/IL-4, analyze the relationship between peripheral blood IFN-</w:t>
      </w:r>
      <w:r w:rsidRPr="00C017CF">
        <w:t>γ</w:t>
      </w:r>
      <w:r w:rsidRPr="00C017CF">
        <w:rPr>
          <w:lang w:val="en-US"/>
        </w:rPr>
        <w:t>, IL-4 and IFN-</w:t>
      </w:r>
      <w:r w:rsidRPr="00C017CF">
        <w:t>γ</w:t>
      </w:r>
      <w:r w:rsidRPr="00C017CF">
        <w:rPr>
          <w:lang w:val="en-US"/>
        </w:rPr>
        <w:t xml:space="preserve">/IL-4 ratios and the extent of acute eczema skin lesions and The predictive value of short-term efficacy. </w:t>
      </w:r>
      <w:r w:rsidRPr="00C017CF">
        <w:rPr>
          <w:rFonts w:ascii="Didot HTF-B06-" w:hAnsi="Didot HTF-B06-" w:cs="Didot HTF-B06-"/>
          <w:b/>
          <w:bCs/>
          <w:lang w:val="en-US"/>
        </w:rPr>
        <w:t>Results</w:t>
      </w:r>
      <w:r w:rsidRPr="00C017CF">
        <w:rPr>
          <w:lang w:val="en-US"/>
        </w:rPr>
        <w:t xml:space="preserve"> The levels of IFN-</w:t>
      </w:r>
      <w:r w:rsidRPr="00C017CF">
        <w:t>γ</w:t>
      </w:r>
      <w:r w:rsidRPr="00C017CF">
        <w:rPr>
          <w:lang w:val="en-US"/>
        </w:rPr>
        <w:t xml:space="preserve"> and IFN-</w:t>
      </w:r>
      <w:r w:rsidRPr="00C017CF">
        <w:t>γ</w:t>
      </w:r>
      <w:r w:rsidRPr="00C017CF">
        <w:rPr>
          <w:lang w:val="en-US"/>
        </w:rPr>
        <w:t>/IL-4 in the EASI score&gt;20 group were significantly lower than those in the EASI score&lt;10 points and the 10-20 groups, the difference was statistically significant (P</w:t>
      </w:r>
      <w:r w:rsidRPr="00C017CF">
        <w:rPr>
          <w:rFonts w:ascii="宋体" w:eastAsia="宋体" w:cs="宋体" w:hint="eastAsia"/>
          <w:lang w:val="en-US"/>
        </w:rPr>
        <w:t>＜</w:t>
      </w:r>
      <w:r w:rsidRPr="00C017CF">
        <w:rPr>
          <w:lang w:val="en-US"/>
        </w:rPr>
        <w:t xml:space="preserve">0.05), and the IL-4 level was significantly higher than EASI Score </w:t>
      </w:r>
      <w:r w:rsidRPr="00C017CF">
        <w:rPr>
          <w:rFonts w:ascii="宋体" w:eastAsia="宋体" w:cs="宋体" w:hint="eastAsia"/>
          <w:lang w:val="en-US"/>
        </w:rPr>
        <w:t>＜</w:t>
      </w:r>
      <w:r w:rsidRPr="00C017CF">
        <w:rPr>
          <w:lang w:val="en-US"/>
        </w:rPr>
        <w:t>10 points and 10-20 group (P</w:t>
      </w:r>
      <w:r w:rsidRPr="00C017CF">
        <w:rPr>
          <w:rFonts w:ascii="宋体" w:eastAsia="宋体" w:cs="宋体" w:hint="eastAsia"/>
          <w:lang w:val="en-US"/>
        </w:rPr>
        <w:t>＜</w:t>
      </w:r>
      <w:r w:rsidRPr="00C017CF">
        <w:rPr>
          <w:lang w:val="en-US"/>
        </w:rPr>
        <w:t>0.05), EASI score 10-20 group IFN-</w:t>
      </w:r>
      <w:r w:rsidRPr="00C017CF">
        <w:t>γ</w:t>
      </w:r>
      <w:r w:rsidRPr="00C017CF">
        <w:rPr>
          <w:lang w:val="en-US"/>
        </w:rPr>
        <w:t>, IFN-</w:t>
      </w:r>
      <w:r w:rsidRPr="00C017CF">
        <w:t>γ</w:t>
      </w:r>
      <w:r w:rsidRPr="00C017CF">
        <w:rPr>
          <w:lang w:val="en-US"/>
        </w:rPr>
        <w:t>/IL-4 levels were significantly lower than EASI score</w:t>
      </w:r>
      <w:r w:rsidRPr="00C017CF">
        <w:rPr>
          <w:rFonts w:ascii="宋体" w:eastAsia="宋体" w:cs="宋体" w:hint="eastAsia"/>
          <w:lang w:val="en-US"/>
        </w:rPr>
        <w:t>＜</w:t>
      </w:r>
      <w:r w:rsidRPr="00C017CF">
        <w:rPr>
          <w:lang w:val="en-US"/>
        </w:rPr>
        <w:t>10 group (P</w:t>
      </w:r>
      <w:r w:rsidRPr="00C017CF">
        <w:rPr>
          <w:rFonts w:ascii="宋体" w:eastAsia="宋体" w:cs="宋体" w:hint="eastAsia"/>
          <w:lang w:val="en-US"/>
        </w:rPr>
        <w:t>＜</w:t>
      </w:r>
      <w:r w:rsidRPr="00C017CF">
        <w:rPr>
          <w:lang w:val="en-US"/>
        </w:rPr>
        <w:t>0.05), IL-4 The level was significantly higher than the EASI score&lt;10 group (P</w:t>
      </w:r>
      <w:r w:rsidRPr="00C017CF">
        <w:rPr>
          <w:rFonts w:ascii="宋体" w:eastAsia="宋体" w:cs="宋体" w:hint="eastAsia"/>
          <w:lang w:val="en-US"/>
        </w:rPr>
        <w:t>＜</w:t>
      </w:r>
      <w:r w:rsidRPr="00C017CF">
        <w:rPr>
          <w:lang w:val="en-US"/>
        </w:rPr>
        <w:t>0.05). The EASI score of patients with acute eczema was negatively correlated with peripheral blood IFN-</w:t>
      </w:r>
      <w:r w:rsidRPr="00C017CF">
        <w:t>γ</w:t>
      </w:r>
      <w:r w:rsidRPr="00C017CF">
        <w:rPr>
          <w:lang w:val="en-US"/>
        </w:rPr>
        <w:t xml:space="preserve"> and IFN-</w:t>
      </w:r>
      <w:r w:rsidRPr="00C017CF">
        <w:t>γ</w:t>
      </w:r>
      <w:r w:rsidRPr="00C017CF">
        <w:rPr>
          <w:lang w:val="en-US"/>
        </w:rPr>
        <w:t>/IL-4 ratio (P</w:t>
      </w:r>
      <w:r w:rsidRPr="00C017CF">
        <w:rPr>
          <w:rFonts w:ascii="宋体" w:eastAsia="宋体" w:cs="宋体" w:hint="eastAsia"/>
          <w:lang w:val="en-US"/>
        </w:rPr>
        <w:t>＜</w:t>
      </w:r>
      <w:r w:rsidRPr="00C017CF">
        <w:rPr>
          <w:lang w:val="en-US"/>
        </w:rPr>
        <w:t>0.05), and positively correlated with IL-4 (P</w:t>
      </w:r>
      <w:r w:rsidRPr="00C017CF">
        <w:rPr>
          <w:rFonts w:ascii="宋体" w:eastAsia="宋体" w:cs="宋体" w:hint="eastAsia"/>
          <w:lang w:val="en-US"/>
        </w:rPr>
        <w:t>＜</w:t>
      </w:r>
      <w:r w:rsidRPr="00C017CF">
        <w:rPr>
          <w:lang w:val="en-US"/>
        </w:rPr>
        <w:t>0.05). The levels of IL-4 and the proportion of anxiety patients in the ineffective group were significantly higher than those in the effective group (P</w:t>
      </w:r>
      <w:r w:rsidRPr="00C017CF">
        <w:rPr>
          <w:rFonts w:ascii="宋体" w:eastAsia="宋体" w:cs="宋体" w:hint="eastAsia"/>
          <w:lang w:val="en-US"/>
        </w:rPr>
        <w:t>＜</w:t>
      </w:r>
      <w:r w:rsidRPr="00C017CF">
        <w:rPr>
          <w:lang w:val="en-US"/>
        </w:rPr>
        <w:t>0.05), and the levels of IFN-</w:t>
      </w:r>
      <w:r w:rsidRPr="00C017CF">
        <w:t>γ</w:t>
      </w:r>
      <w:r w:rsidRPr="00C017CF">
        <w:rPr>
          <w:lang w:val="en-US"/>
        </w:rPr>
        <w:t xml:space="preserve"> and IFN-</w:t>
      </w:r>
      <w:r w:rsidRPr="00C017CF">
        <w:t>γ</w:t>
      </w:r>
      <w:r w:rsidRPr="00C017CF">
        <w:rPr>
          <w:lang w:val="en-US"/>
        </w:rPr>
        <w:t>/IL-4 were significantly lower than those in the effective group (P</w:t>
      </w:r>
      <w:r w:rsidRPr="00C017CF">
        <w:rPr>
          <w:rFonts w:ascii="宋体" w:eastAsia="宋体" w:cs="宋体" w:hint="eastAsia"/>
          <w:lang w:val="en-US"/>
        </w:rPr>
        <w:t>＜</w:t>
      </w:r>
      <w:r w:rsidRPr="00C017CF">
        <w:rPr>
          <w:lang w:val="en-US"/>
        </w:rPr>
        <w:t>0.05). Multivariate logistic regression</w:t>
      </w:r>
      <w:r w:rsidRPr="00C017CF">
        <w:rPr>
          <w:rFonts w:eastAsiaTheme="minorEastAsia"/>
          <w:lang w:val="en-US"/>
        </w:rPr>
        <w:t>analysis showed that anxiety, IFN-</w:t>
      </w:r>
      <w:r w:rsidRPr="00C017CF">
        <w:rPr>
          <w:rFonts w:eastAsiaTheme="minorEastAsia"/>
        </w:rPr>
        <w:t>γ</w:t>
      </w:r>
      <w:r w:rsidRPr="00C017CF">
        <w:rPr>
          <w:rFonts w:eastAsiaTheme="minorEastAsia"/>
          <w:lang w:val="en-US"/>
        </w:rPr>
        <w:t>, IL-4, IFN-</w:t>
      </w:r>
      <w:r w:rsidRPr="00C017CF">
        <w:rPr>
          <w:rFonts w:eastAsiaTheme="minorEastAsia"/>
        </w:rPr>
        <w:t>γ</w:t>
      </w:r>
      <w:r w:rsidRPr="00C017CF">
        <w:rPr>
          <w:rFonts w:eastAsiaTheme="minorEastAsia"/>
          <w:lang w:val="en-US"/>
        </w:rPr>
        <w:t>/IL-4 were independent factors influencing the short-term efficacy of acute eczema (P</w:t>
      </w:r>
      <w:r w:rsidRPr="00C017CF">
        <w:rPr>
          <w:rFonts w:ascii="宋体" w:eastAsia="宋体" w:cs="宋体" w:hint="eastAsia"/>
          <w:lang w:val="en-US"/>
        </w:rPr>
        <w:t>＜</w:t>
      </w:r>
      <w:r w:rsidRPr="00C017CF">
        <w:rPr>
          <w:rFonts w:eastAsiaTheme="minorEastAsia"/>
          <w:lang w:val="en-US"/>
        </w:rPr>
        <w:t>0.05). The sensitivity of IFN-</w:t>
      </w:r>
      <w:r w:rsidRPr="00C017CF">
        <w:rPr>
          <w:rFonts w:eastAsiaTheme="minorEastAsia"/>
        </w:rPr>
        <w:t>γ</w:t>
      </w:r>
      <w:r w:rsidRPr="00C017CF">
        <w:rPr>
          <w:rFonts w:eastAsiaTheme="minorEastAsia"/>
          <w:lang w:val="en-US"/>
        </w:rPr>
        <w:t>, IL-4 and IFN-</w:t>
      </w:r>
      <w:r w:rsidRPr="00C017CF">
        <w:rPr>
          <w:rFonts w:eastAsiaTheme="minorEastAsia"/>
        </w:rPr>
        <w:t>γ</w:t>
      </w:r>
      <w:r w:rsidRPr="00C017CF">
        <w:rPr>
          <w:rFonts w:eastAsiaTheme="minorEastAsia"/>
          <w:lang w:val="en-US"/>
        </w:rPr>
        <w:t xml:space="preserve">/IL-4 combined to predict the short-term curative effect of acute eczema is 0.921 and the specificity is 0.833. </w:t>
      </w:r>
      <w:r w:rsidRPr="00C017CF">
        <w:rPr>
          <w:rFonts w:ascii="Didot HTF-B06-" w:eastAsiaTheme="minorEastAsia" w:hAnsi="Didot HTF-B06-" w:cs="Didot HTF-B06-"/>
          <w:b/>
          <w:bCs/>
          <w:lang w:val="en-US"/>
        </w:rPr>
        <w:t>Conclusion</w:t>
      </w:r>
      <w:r w:rsidRPr="00C017CF">
        <w:rPr>
          <w:rFonts w:eastAsiaTheme="minorEastAsia"/>
          <w:lang w:val="en-US"/>
        </w:rPr>
        <w:t xml:space="preserve"> Peripheral blood IFN-</w:t>
      </w:r>
      <w:r w:rsidRPr="00C017CF">
        <w:rPr>
          <w:rFonts w:eastAsiaTheme="minorEastAsia"/>
        </w:rPr>
        <w:t>γ</w:t>
      </w:r>
      <w:r w:rsidRPr="00C017CF">
        <w:rPr>
          <w:rFonts w:eastAsiaTheme="minorEastAsia"/>
          <w:lang w:val="en-US"/>
        </w:rPr>
        <w:t>, IL-4 and IFN-</w:t>
      </w:r>
      <w:r w:rsidRPr="00C017CF">
        <w:rPr>
          <w:rFonts w:eastAsiaTheme="minorEastAsia"/>
        </w:rPr>
        <w:t>γ</w:t>
      </w:r>
      <w:r w:rsidRPr="00C017CF">
        <w:rPr>
          <w:rFonts w:eastAsiaTheme="minorEastAsia"/>
          <w:lang w:val="en-US"/>
        </w:rPr>
        <w:t>/IL-4 ratio were significant correlation with the degree of acute eczema lesions, and has a certain predictive value for the short-term efficacy of patients.</w:t>
      </w:r>
    </w:p>
    <w:p w:rsidR="00392B23" w:rsidRPr="00C017CF" w:rsidRDefault="00C017CF" w:rsidP="00C017CF">
      <w:r w:rsidRPr="00C017CF">
        <w:rPr>
          <w:rFonts w:ascii="Didot HTF-B06-" w:hAnsi="Didot HTF-B06-" w:cs="Didot HTF-B06-"/>
          <w:b/>
          <w:bCs/>
          <w:color w:val="000000"/>
          <w:kern w:val="0"/>
          <w:sz w:val="19"/>
        </w:rPr>
        <w:t>Key words:</w:t>
      </w:r>
      <w:r w:rsidRPr="00C017CF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IFN-</w:t>
      </w:r>
      <w:r w:rsidRPr="00C017CF">
        <w:rPr>
          <w:rFonts w:ascii="Times New Roman" w:hAnsi="Times New Roman" w:cs="Times New Roman"/>
          <w:color w:val="000000"/>
          <w:kern w:val="0"/>
          <w:sz w:val="19"/>
          <w:szCs w:val="19"/>
          <w:lang w:val="zh-CN"/>
        </w:rPr>
        <w:t>γ</w:t>
      </w:r>
      <w:r w:rsidRPr="00C017CF">
        <w:rPr>
          <w:rFonts w:ascii="Times New Roman" w:hAnsi="Times New Roman" w:cs="Times New Roman"/>
          <w:color w:val="000000"/>
          <w:kern w:val="0"/>
          <w:sz w:val="19"/>
          <w:szCs w:val="19"/>
        </w:rPr>
        <w:t>; IL-4; eczema; EASI; short term efficacy; skin lesions</w:t>
      </w:r>
    </w:p>
    <w:sectPr w:rsidR="00392B23" w:rsidRPr="00C017CF" w:rsidSect="00AA1F1D">
      <w:pgSz w:w="11906" w:h="16838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579" w:rsidRDefault="009B0579" w:rsidP="00E172F8">
      <w:r>
        <w:separator/>
      </w:r>
    </w:p>
  </w:endnote>
  <w:endnote w:type="continuationSeparator" w:id="0">
    <w:p w:rsidR="009B0579" w:rsidRDefault="009B0579" w:rsidP="00E172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ITC Avant Garde Gothic Demi">
    <w:panose1 w:val="020B0802020202020204"/>
    <w:charset w:val="00"/>
    <w:family w:val="swiss"/>
    <w:pitch w:val="variable"/>
    <w:sig w:usb0="00000007" w:usb1="00000000" w:usb2="00000000" w:usb3="00000000" w:csb0="00000093" w:csb1="00000000"/>
  </w:font>
  <w:font w:name="方正兰亭中黑_GBK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Didot HTF-B06-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579" w:rsidRDefault="009B0579" w:rsidP="00E172F8">
      <w:r>
        <w:separator/>
      </w:r>
    </w:p>
  </w:footnote>
  <w:footnote w:type="continuationSeparator" w:id="0">
    <w:p w:rsidR="009B0579" w:rsidRDefault="009B0579" w:rsidP="00E172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172F8"/>
    <w:rsid w:val="0009744A"/>
    <w:rsid w:val="000A09ED"/>
    <w:rsid w:val="000B0FC9"/>
    <w:rsid w:val="000D1F46"/>
    <w:rsid w:val="000E7F96"/>
    <w:rsid w:val="0014482C"/>
    <w:rsid w:val="00181C4C"/>
    <w:rsid w:val="001C4414"/>
    <w:rsid w:val="001D07C9"/>
    <w:rsid w:val="001D5A57"/>
    <w:rsid w:val="00240761"/>
    <w:rsid w:val="00267531"/>
    <w:rsid w:val="00276603"/>
    <w:rsid w:val="00277B52"/>
    <w:rsid w:val="00284A2C"/>
    <w:rsid w:val="0029663D"/>
    <w:rsid w:val="002C3C2E"/>
    <w:rsid w:val="00386229"/>
    <w:rsid w:val="00392B23"/>
    <w:rsid w:val="003A6FBB"/>
    <w:rsid w:val="003C1421"/>
    <w:rsid w:val="003C3A27"/>
    <w:rsid w:val="003C612F"/>
    <w:rsid w:val="004028F3"/>
    <w:rsid w:val="0041270F"/>
    <w:rsid w:val="00455160"/>
    <w:rsid w:val="00497DE0"/>
    <w:rsid w:val="004A6544"/>
    <w:rsid w:val="004A7BC1"/>
    <w:rsid w:val="005147FF"/>
    <w:rsid w:val="00555859"/>
    <w:rsid w:val="005C657E"/>
    <w:rsid w:val="005E4934"/>
    <w:rsid w:val="005F513F"/>
    <w:rsid w:val="006236E2"/>
    <w:rsid w:val="00661A0F"/>
    <w:rsid w:val="00687870"/>
    <w:rsid w:val="006D3B77"/>
    <w:rsid w:val="006D446A"/>
    <w:rsid w:val="007B6A4D"/>
    <w:rsid w:val="007C2FD9"/>
    <w:rsid w:val="007E4364"/>
    <w:rsid w:val="008749F3"/>
    <w:rsid w:val="008C78FD"/>
    <w:rsid w:val="008D029A"/>
    <w:rsid w:val="008E4876"/>
    <w:rsid w:val="0093010C"/>
    <w:rsid w:val="009456A7"/>
    <w:rsid w:val="0098006E"/>
    <w:rsid w:val="009A4D93"/>
    <w:rsid w:val="009B0579"/>
    <w:rsid w:val="009F7A00"/>
    <w:rsid w:val="00A57CFA"/>
    <w:rsid w:val="00A772FA"/>
    <w:rsid w:val="00AA043F"/>
    <w:rsid w:val="00AA20A5"/>
    <w:rsid w:val="00AA37C6"/>
    <w:rsid w:val="00AE0425"/>
    <w:rsid w:val="00AF1728"/>
    <w:rsid w:val="00B013FB"/>
    <w:rsid w:val="00B12716"/>
    <w:rsid w:val="00B5578A"/>
    <w:rsid w:val="00B879AA"/>
    <w:rsid w:val="00BD0866"/>
    <w:rsid w:val="00C017CF"/>
    <w:rsid w:val="00C64F57"/>
    <w:rsid w:val="00C851CA"/>
    <w:rsid w:val="00CA391F"/>
    <w:rsid w:val="00CA3EA1"/>
    <w:rsid w:val="00CD0A61"/>
    <w:rsid w:val="00D25704"/>
    <w:rsid w:val="00D52EFA"/>
    <w:rsid w:val="00D777F9"/>
    <w:rsid w:val="00DC05D5"/>
    <w:rsid w:val="00DD5A8C"/>
    <w:rsid w:val="00DF0FF2"/>
    <w:rsid w:val="00E172F8"/>
    <w:rsid w:val="00E87F3B"/>
    <w:rsid w:val="00EB474A"/>
    <w:rsid w:val="00EF4574"/>
    <w:rsid w:val="00F122B2"/>
    <w:rsid w:val="00F4563C"/>
    <w:rsid w:val="00F5463E"/>
    <w:rsid w:val="00F72939"/>
    <w:rsid w:val="00FA60D6"/>
    <w:rsid w:val="00FD1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7C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172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172F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172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172F8"/>
    <w:rPr>
      <w:sz w:val="18"/>
      <w:szCs w:val="18"/>
    </w:rPr>
  </w:style>
  <w:style w:type="paragraph" w:customStyle="1" w:styleId="a5">
    <w:name w:val="中文大标题"/>
    <w:basedOn w:val="a"/>
    <w:uiPriority w:val="99"/>
    <w:rsid w:val="00E172F8"/>
    <w:pPr>
      <w:autoSpaceDE w:val="0"/>
      <w:autoSpaceDN w:val="0"/>
      <w:adjustRightInd w:val="0"/>
      <w:spacing w:line="400" w:lineRule="atLeast"/>
      <w:jc w:val="center"/>
      <w:textAlignment w:val="center"/>
    </w:pPr>
    <w:rPr>
      <w:rFonts w:ascii="方正小标宋_GBK" w:eastAsia="方正小标宋_GBK" w:cs="方正小标宋_GBK"/>
      <w:color w:val="7F00FF"/>
      <w:kern w:val="0"/>
      <w:sz w:val="30"/>
      <w:szCs w:val="30"/>
      <w:lang w:val="zh-CN"/>
    </w:rPr>
  </w:style>
  <w:style w:type="paragraph" w:customStyle="1" w:styleId="a6">
    <w:name w:val="作者名中文"/>
    <w:basedOn w:val="a"/>
    <w:uiPriority w:val="99"/>
    <w:rsid w:val="00E172F8"/>
    <w:pPr>
      <w:autoSpaceDE w:val="0"/>
      <w:autoSpaceDN w:val="0"/>
      <w:adjustRightInd w:val="0"/>
      <w:spacing w:line="340" w:lineRule="atLeast"/>
      <w:jc w:val="center"/>
      <w:textAlignment w:val="center"/>
    </w:pPr>
    <w:rPr>
      <w:rFonts w:ascii="方正楷体_GBK" w:eastAsia="方正楷体_GBK" w:cs="方正楷体_GBK"/>
      <w:color w:val="000000"/>
      <w:kern w:val="0"/>
      <w:sz w:val="24"/>
      <w:szCs w:val="24"/>
      <w:lang w:val="zh-CN"/>
    </w:rPr>
  </w:style>
  <w:style w:type="paragraph" w:customStyle="1" w:styleId="a7">
    <w:name w:val="中文括号地址"/>
    <w:basedOn w:val="a"/>
    <w:uiPriority w:val="99"/>
    <w:rsid w:val="00E172F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方正楷体_GBK" w:eastAsia="方正楷体_GBK" w:cs="方正楷体_GBK"/>
      <w:color w:val="000000"/>
      <w:kern w:val="0"/>
      <w:sz w:val="18"/>
      <w:szCs w:val="18"/>
      <w:lang w:val="zh-CN"/>
    </w:rPr>
  </w:style>
  <w:style w:type="paragraph" w:customStyle="1" w:styleId="a8">
    <w:name w:val="中文摘要"/>
    <w:basedOn w:val="a"/>
    <w:uiPriority w:val="99"/>
    <w:rsid w:val="00E172F8"/>
    <w:pPr>
      <w:autoSpaceDE w:val="0"/>
      <w:autoSpaceDN w:val="0"/>
      <w:adjustRightInd w:val="0"/>
      <w:spacing w:line="300" w:lineRule="atLeast"/>
      <w:textAlignment w:val="center"/>
    </w:pPr>
    <w:rPr>
      <w:rFonts w:ascii="楷体_GB2312" w:eastAsia="楷体_GB2312" w:cs="楷体_GB2312"/>
      <w:color w:val="000000"/>
      <w:kern w:val="0"/>
      <w:sz w:val="18"/>
      <w:szCs w:val="18"/>
      <w:lang w:val="zh-CN"/>
    </w:rPr>
  </w:style>
  <w:style w:type="paragraph" w:customStyle="1" w:styleId="a9">
    <w:name w:val="英文大标题"/>
    <w:basedOn w:val="a"/>
    <w:uiPriority w:val="99"/>
    <w:rsid w:val="00E172F8"/>
    <w:pPr>
      <w:autoSpaceDE w:val="0"/>
      <w:autoSpaceDN w:val="0"/>
      <w:adjustRightInd w:val="0"/>
      <w:spacing w:line="320" w:lineRule="atLeast"/>
      <w:jc w:val="center"/>
      <w:textAlignment w:val="center"/>
    </w:pPr>
    <w:rPr>
      <w:rFonts w:ascii="ITC Avant Garde Gothic Demi" w:eastAsia="方正小标宋_GBK" w:hAnsi="ITC Avant Garde Gothic Demi" w:cs="ITC Avant Garde Gothic Demi"/>
      <w:color w:val="7F00FF"/>
      <w:kern w:val="0"/>
      <w:sz w:val="24"/>
      <w:szCs w:val="24"/>
      <w:lang w:val="zh-CN"/>
    </w:rPr>
  </w:style>
  <w:style w:type="paragraph" w:customStyle="1" w:styleId="aa">
    <w:name w:val="英文作者名"/>
    <w:basedOn w:val="a"/>
    <w:uiPriority w:val="99"/>
    <w:rsid w:val="00E172F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方正兰亭中黑_GBK" w:eastAsia="方正兰亭中黑_GBK" w:cs="方正兰亭中黑_GBK"/>
      <w:color w:val="000000"/>
      <w:kern w:val="0"/>
      <w:sz w:val="18"/>
      <w:szCs w:val="18"/>
      <w:lang w:val="zh-CN"/>
    </w:rPr>
  </w:style>
  <w:style w:type="paragraph" w:customStyle="1" w:styleId="ab">
    <w:name w:val="英文括号地址"/>
    <w:basedOn w:val="a"/>
    <w:uiPriority w:val="99"/>
    <w:rsid w:val="00E172F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Times New Roman" w:eastAsia="方正小标宋_GBK" w:hAnsi="Times New Roman" w:cs="Times New Roman"/>
      <w:color w:val="000000"/>
      <w:kern w:val="0"/>
      <w:sz w:val="19"/>
      <w:szCs w:val="19"/>
      <w:lang w:val="zh-CN"/>
    </w:rPr>
  </w:style>
  <w:style w:type="paragraph" w:customStyle="1" w:styleId="ac">
    <w:name w:val="英文摘要"/>
    <w:basedOn w:val="a"/>
    <w:uiPriority w:val="99"/>
    <w:rsid w:val="00E172F8"/>
    <w:pPr>
      <w:autoSpaceDE w:val="0"/>
      <w:autoSpaceDN w:val="0"/>
      <w:adjustRightInd w:val="0"/>
      <w:spacing w:line="300" w:lineRule="atLeast"/>
      <w:textAlignment w:val="center"/>
    </w:pPr>
    <w:rPr>
      <w:rFonts w:ascii="Times New Roman" w:eastAsia="方正小标宋_GBK" w:hAnsi="Times New Roman" w:cs="Times New Roman"/>
      <w:color w:val="000000"/>
      <w:kern w:val="0"/>
      <w:sz w:val="19"/>
      <w:szCs w:val="19"/>
      <w:lang w:val="zh-CN"/>
    </w:rPr>
  </w:style>
  <w:style w:type="character" w:customStyle="1" w:styleId="9">
    <w:name w:val="9号黑体"/>
    <w:uiPriority w:val="99"/>
    <w:rsid w:val="00E172F8"/>
    <w:rPr>
      <w:rFonts w:ascii="黑体" w:eastAsia="黑体" w:cs="黑体"/>
      <w:sz w:val="18"/>
      <w:szCs w:val="18"/>
    </w:rPr>
  </w:style>
  <w:style w:type="character" w:customStyle="1" w:styleId="95">
    <w:name w:val="英文9.5号黑体"/>
    <w:uiPriority w:val="99"/>
    <w:rsid w:val="00E172F8"/>
    <w:rPr>
      <w:rFonts w:ascii="Didot HTF-B06-" w:hAnsi="Didot HTF-B06-" w:cs="Didot HTF-B06-"/>
      <w:b/>
      <w:bCs/>
      <w:sz w:val="19"/>
      <w:szCs w:val="19"/>
    </w:rPr>
  </w:style>
  <w:style w:type="paragraph" w:customStyle="1" w:styleId="ad">
    <w:name w:val="中文正文"/>
    <w:basedOn w:val="a"/>
    <w:uiPriority w:val="99"/>
    <w:rsid w:val="00277B52"/>
    <w:pPr>
      <w:autoSpaceDE w:val="0"/>
      <w:autoSpaceDN w:val="0"/>
      <w:adjustRightInd w:val="0"/>
      <w:spacing w:line="300" w:lineRule="atLeast"/>
      <w:ind w:firstLine="369"/>
      <w:textAlignment w:val="center"/>
    </w:pPr>
    <w:rPr>
      <w:rFonts w:ascii="宋体" w:eastAsia="宋体" w:cs="宋体"/>
      <w:color w:val="000000"/>
      <w:kern w:val="0"/>
      <w:sz w:val="18"/>
      <w:szCs w:val="18"/>
      <w:lang w:val="zh-CN"/>
    </w:rPr>
  </w:style>
  <w:style w:type="paragraph" w:customStyle="1" w:styleId="ae">
    <w:name w:val="[无段落样式]"/>
    <w:rsid w:val="000E7F96"/>
    <w:pPr>
      <w:widowControl w:val="0"/>
      <w:autoSpaceDE w:val="0"/>
      <w:autoSpaceDN w:val="0"/>
      <w:adjustRightInd w:val="0"/>
      <w:spacing w:line="288" w:lineRule="auto"/>
      <w:jc w:val="both"/>
      <w:textAlignment w:val="center"/>
    </w:pPr>
    <w:rPr>
      <w:rFonts w:ascii="宋体" w:eastAsia="宋体" w:cs="宋体"/>
      <w:color w:val="000000"/>
      <w:kern w:val="0"/>
      <w:sz w:val="24"/>
      <w:szCs w:val="24"/>
      <w:lang w:val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551</Words>
  <Characters>3143</Characters>
  <Application>Microsoft Office Word</Application>
  <DocSecurity>0</DocSecurity>
  <Lines>26</Lines>
  <Paragraphs>7</Paragraphs>
  <ScaleCrop>false</ScaleCrop>
  <Company>Microsoft</Company>
  <LinksUpToDate>false</LinksUpToDate>
  <CharactersWithSpaces>3687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68</cp:revision>
  <dcterms:created xsi:type="dcterms:W3CDTF">2022-01-17T03:25:00Z</dcterms:created>
  <dcterms:modified xsi:type="dcterms:W3CDTF">2022-02-10T09:23:00Z</dcterms:modified>
</cp:coreProperties>
</file>