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3CD" w:rsidRPr="008323CD" w:rsidRDefault="008323CD" w:rsidP="008323CD">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8323CD">
        <w:rPr>
          <w:rFonts w:ascii="方正小标宋_GBK" w:eastAsia="方正小标宋_GBK" w:cs="方正小标宋_GBK" w:hint="eastAsia"/>
          <w:color w:val="920883"/>
          <w:kern w:val="0"/>
          <w:sz w:val="30"/>
          <w:szCs w:val="30"/>
          <w:lang w:val="zh-CN"/>
        </w:rPr>
        <w:t>窄谱中波紫外线配合活血解毒方对血瘀型银屑病患者血液流变学及血清</w:t>
      </w:r>
      <w:r w:rsidRPr="008323CD">
        <w:rPr>
          <w:rFonts w:ascii="方正小标宋_GBK" w:eastAsia="方正小标宋_GBK" w:cs="方正小标宋_GBK"/>
          <w:color w:val="920883"/>
          <w:kern w:val="0"/>
          <w:sz w:val="30"/>
          <w:szCs w:val="30"/>
          <w:lang w:val="zh-CN"/>
        </w:rPr>
        <w:t>Th1/Th2</w:t>
      </w:r>
      <w:r w:rsidRPr="008323CD">
        <w:rPr>
          <w:rFonts w:ascii="方正小标宋_GBK" w:eastAsia="方正小标宋_GBK" w:cs="方正小标宋_GBK" w:hint="eastAsia"/>
          <w:color w:val="920883"/>
          <w:kern w:val="0"/>
          <w:sz w:val="30"/>
          <w:szCs w:val="30"/>
          <w:lang w:val="zh-CN"/>
        </w:rPr>
        <w:t>细胞因子和</w:t>
      </w:r>
      <w:r w:rsidRPr="008323CD">
        <w:rPr>
          <w:rFonts w:ascii="方正小标宋_GBK" w:eastAsia="方正小标宋_GBK" w:cs="方正小标宋_GBK"/>
          <w:color w:val="920883"/>
          <w:kern w:val="0"/>
          <w:sz w:val="30"/>
          <w:szCs w:val="30"/>
          <w:lang w:val="zh-CN"/>
        </w:rPr>
        <w:t>IL-17</w:t>
      </w:r>
      <w:r w:rsidRPr="008323CD">
        <w:rPr>
          <w:rFonts w:ascii="方正小标宋_GBK" w:eastAsia="方正小标宋_GBK" w:cs="方正小标宋_GBK" w:hint="eastAsia"/>
          <w:color w:val="920883"/>
          <w:kern w:val="0"/>
          <w:sz w:val="30"/>
          <w:szCs w:val="30"/>
          <w:lang w:val="zh-CN"/>
        </w:rPr>
        <w:t>表达的影响</w:t>
      </w:r>
    </w:p>
    <w:p w:rsidR="008323CD" w:rsidRPr="008323CD" w:rsidRDefault="008323CD" w:rsidP="008323CD">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8323CD">
        <w:rPr>
          <w:rFonts w:ascii="方正楷体_GBK" w:eastAsia="方正楷体_GBK" w:cs="方正楷体_GBK" w:hint="eastAsia"/>
          <w:color w:val="000000"/>
          <w:kern w:val="0"/>
          <w:sz w:val="24"/>
          <w:szCs w:val="24"/>
          <w:lang w:val="zh-CN"/>
        </w:rPr>
        <w:t>刘秀玲</w:t>
      </w:r>
      <w:r w:rsidRPr="008323CD">
        <w:rPr>
          <w:rFonts w:ascii="方正楷体_GBK" w:eastAsia="方正楷体_GBK" w:cs="方正楷体_GBK"/>
          <w:color w:val="000000"/>
          <w:kern w:val="0"/>
          <w:sz w:val="24"/>
          <w:szCs w:val="24"/>
          <w:vertAlign w:val="superscript"/>
          <w:lang w:val="zh-CN"/>
        </w:rPr>
        <w:t>1</w:t>
      </w:r>
      <w:r w:rsidRPr="008323CD">
        <w:rPr>
          <w:rFonts w:ascii="方正楷体_GBK" w:eastAsia="方正楷体_GBK" w:cs="方正楷体_GBK" w:hint="eastAsia"/>
          <w:color w:val="000000"/>
          <w:kern w:val="0"/>
          <w:sz w:val="24"/>
          <w:szCs w:val="24"/>
          <w:lang w:val="zh-CN"/>
        </w:rPr>
        <w:t>，付雪梅</w:t>
      </w:r>
      <w:r w:rsidRPr="008323CD">
        <w:rPr>
          <w:rFonts w:ascii="方正楷体_GBK" w:eastAsia="方正楷体_GBK" w:cs="方正楷体_GBK"/>
          <w:color w:val="000000"/>
          <w:kern w:val="0"/>
          <w:sz w:val="24"/>
          <w:szCs w:val="24"/>
          <w:vertAlign w:val="superscript"/>
          <w:lang w:val="zh-CN"/>
        </w:rPr>
        <w:t>2</w:t>
      </w:r>
      <w:r w:rsidRPr="008323CD">
        <w:rPr>
          <w:rFonts w:ascii="方正楷体_GBK" w:eastAsia="方正楷体_GBK" w:cs="方正楷体_GBK" w:hint="eastAsia"/>
          <w:color w:val="000000"/>
          <w:kern w:val="0"/>
          <w:sz w:val="24"/>
          <w:szCs w:val="24"/>
          <w:lang w:val="zh-CN"/>
        </w:rPr>
        <w:t>，郑成彬</w:t>
      </w:r>
      <w:r w:rsidRPr="008323CD">
        <w:rPr>
          <w:rFonts w:ascii="方正楷体_GBK" w:eastAsia="方正楷体_GBK" w:cs="方正楷体_GBK"/>
          <w:color w:val="000000"/>
          <w:kern w:val="0"/>
          <w:sz w:val="24"/>
          <w:szCs w:val="24"/>
          <w:vertAlign w:val="superscript"/>
          <w:lang w:val="zh-CN"/>
        </w:rPr>
        <w:t>1</w:t>
      </w:r>
    </w:p>
    <w:p w:rsidR="008323CD" w:rsidRPr="008323CD" w:rsidRDefault="008323CD" w:rsidP="008323CD">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8323CD">
        <w:rPr>
          <w:rFonts w:ascii="方正楷体_GBK" w:eastAsia="方正楷体_GBK" w:cs="方正楷体_GBK" w:hint="eastAsia"/>
          <w:color w:val="000000"/>
          <w:kern w:val="0"/>
          <w:sz w:val="18"/>
          <w:szCs w:val="18"/>
          <w:lang w:val="zh-CN"/>
        </w:rPr>
        <w:t>（</w:t>
      </w:r>
      <w:r w:rsidRPr="008323CD">
        <w:rPr>
          <w:rFonts w:ascii="方正楷体_GBK" w:eastAsia="方正楷体_GBK" w:cs="方正楷体_GBK"/>
          <w:color w:val="000000"/>
          <w:kern w:val="0"/>
          <w:sz w:val="18"/>
          <w:szCs w:val="18"/>
          <w:lang w:val="zh-CN"/>
        </w:rPr>
        <w:t>1.</w:t>
      </w:r>
      <w:r w:rsidRPr="008323CD">
        <w:rPr>
          <w:rFonts w:ascii="方正楷体_GBK" w:eastAsia="方正楷体_GBK" w:cs="方正楷体_GBK" w:hint="eastAsia"/>
          <w:color w:val="000000"/>
          <w:kern w:val="0"/>
          <w:sz w:val="18"/>
          <w:szCs w:val="18"/>
          <w:lang w:val="zh-CN"/>
        </w:rPr>
        <w:t>日照市皮肤病防治所皮肤科</w:t>
      </w:r>
      <w:r w:rsidRPr="008323CD">
        <w:rPr>
          <w:rFonts w:ascii="方正楷体_GBK" w:eastAsia="方正楷体_GBK" w:cs="方正楷体_GBK"/>
          <w:color w:val="000000"/>
          <w:kern w:val="0"/>
          <w:sz w:val="18"/>
          <w:szCs w:val="18"/>
          <w:lang w:val="zh-CN"/>
        </w:rPr>
        <w:t xml:space="preserve">  </w:t>
      </w:r>
      <w:r w:rsidRPr="008323CD">
        <w:rPr>
          <w:rFonts w:ascii="方正楷体_GBK" w:eastAsia="方正楷体_GBK" w:cs="方正楷体_GBK" w:hint="eastAsia"/>
          <w:color w:val="000000"/>
          <w:kern w:val="0"/>
          <w:sz w:val="18"/>
          <w:szCs w:val="18"/>
          <w:lang w:val="zh-CN"/>
        </w:rPr>
        <w:t>山东</w:t>
      </w:r>
      <w:r w:rsidRPr="008323CD">
        <w:rPr>
          <w:rFonts w:ascii="方正楷体_GBK" w:eastAsia="方正楷体_GBK" w:cs="方正楷体_GBK"/>
          <w:color w:val="000000"/>
          <w:kern w:val="0"/>
          <w:sz w:val="18"/>
          <w:szCs w:val="18"/>
          <w:lang w:val="zh-CN"/>
        </w:rPr>
        <w:t xml:space="preserve"> </w:t>
      </w:r>
      <w:r w:rsidRPr="008323CD">
        <w:rPr>
          <w:rFonts w:ascii="方正楷体_GBK" w:eastAsia="方正楷体_GBK" w:cs="方正楷体_GBK" w:hint="eastAsia"/>
          <w:color w:val="000000"/>
          <w:kern w:val="0"/>
          <w:sz w:val="18"/>
          <w:szCs w:val="18"/>
          <w:lang w:val="zh-CN"/>
        </w:rPr>
        <w:t>日照</w:t>
      </w:r>
      <w:r w:rsidRPr="008323CD">
        <w:rPr>
          <w:rFonts w:ascii="方正楷体_GBK" w:eastAsia="方正楷体_GBK" w:cs="方正楷体_GBK"/>
          <w:color w:val="000000"/>
          <w:kern w:val="0"/>
          <w:sz w:val="18"/>
          <w:szCs w:val="18"/>
          <w:lang w:val="zh-CN"/>
        </w:rPr>
        <w:t xml:space="preserve">  276800</w:t>
      </w:r>
      <w:r w:rsidRPr="008323CD">
        <w:rPr>
          <w:rFonts w:ascii="方正楷体_GBK" w:eastAsia="方正楷体_GBK" w:cs="方正楷体_GBK" w:hint="eastAsia"/>
          <w:color w:val="000000"/>
          <w:kern w:val="0"/>
          <w:sz w:val="18"/>
          <w:szCs w:val="18"/>
          <w:lang w:val="zh-CN"/>
        </w:rPr>
        <w:t>；</w:t>
      </w:r>
      <w:r w:rsidRPr="008323CD">
        <w:rPr>
          <w:rFonts w:ascii="方正楷体_GBK" w:eastAsia="方正楷体_GBK" w:cs="方正楷体_GBK"/>
          <w:color w:val="000000"/>
          <w:kern w:val="0"/>
          <w:sz w:val="18"/>
          <w:szCs w:val="18"/>
          <w:lang w:val="zh-CN"/>
        </w:rPr>
        <w:t>2.</w:t>
      </w:r>
      <w:r w:rsidRPr="008323CD">
        <w:rPr>
          <w:rFonts w:ascii="方正楷体_GBK" w:eastAsia="方正楷体_GBK" w:cs="方正楷体_GBK" w:hint="eastAsia"/>
          <w:color w:val="000000"/>
          <w:kern w:val="0"/>
          <w:sz w:val="18"/>
          <w:szCs w:val="18"/>
          <w:lang w:val="zh-CN"/>
        </w:rPr>
        <w:t>枣庄市皮肤病性病防治院皮肤科</w:t>
      </w:r>
      <w:r w:rsidRPr="008323CD">
        <w:rPr>
          <w:rFonts w:ascii="方正楷体_GBK" w:eastAsia="方正楷体_GBK" w:cs="方正楷体_GBK"/>
          <w:color w:val="000000"/>
          <w:kern w:val="0"/>
          <w:sz w:val="18"/>
          <w:szCs w:val="18"/>
          <w:lang w:val="zh-CN"/>
        </w:rPr>
        <w:t xml:space="preserve">  </w:t>
      </w:r>
      <w:r w:rsidRPr="008323CD">
        <w:rPr>
          <w:rFonts w:ascii="方正楷体_GBK" w:eastAsia="方正楷体_GBK" w:cs="方正楷体_GBK" w:hint="eastAsia"/>
          <w:color w:val="000000"/>
          <w:kern w:val="0"/>
          <w:sz w:val="18"/>
          <w:szCs w:val="18"/>
          <w:lang w:val="zh-CN"/>
        </w:rPr>
        <w:t>山东</w:t>
      </w:r>
      <w:r w:rsidRPr="008323CD">
        <w:rPr>
          <w:rFonts w:ascii="方正楷体_GBK" w:eastAsia="方正楷体_GBK" w:cs="方正楷体_GBK"/>
          <w:color w:val="000000"/>
          <w:kern w:val="0"/>
          <w:sz w:val="18"/>
          <w:szCs w:val="18"/>
          <w:lang w:val="zh-CN"/>
        </w:rPr>
        <w:t xml:space="preserve"> </w:t>
      </w:r>
      <w:r w:rsidRPr="008323CD">
        <w:rPr>
          <w:rFonts w:ascii="方正楷体_GBK" w:eastAsia="方正楷体_GBK" w:cs="方正楷体_GBK" w:hint="eastAsia"/>
          <w:color w:val="000000"/>
          <w:kern w:val="0"/>
          <w:sz w:val="18"/>
          <w:szCs w:val="18"/>
          <w:lang w:val="zh-CN"/>
        </w:rPr>
        <w:t>枣庄</w:t>
      </w:r>
      <w:r w:rsidRPr="008323CD">
        <w:rPr>
          <w:rFonts w:ascii="方正楷体_GBK" w:eastAsia="方正楷体_GBK" w:cs="方正楷体_GBK"/>
          <w:color w:val="000000"/>
          <w:kern w:val="0"/>
          <w:sz w:val="18"/>
          <w:szCs w:val="18"/>
          <w:lang w:val="zh-CN"/>
        </w:rPr>
        <w:t xml:space="preserve">  277500</w:t>
      </w:r>
      <w:r w:rsidRPr="008323CD">
        <w:rPr>
          <w:rFonts w:ascii="方正楷体_GBK" w:eastAsia="方正楷体_GBK" w:cs="方正楷体_GBK" w:hint="eastAsia"/>
          <w:color w:val="000000"/>
          <w:kern w:val="0"/>
          <w:sz w:val="18"/>
          <w:szCs w:val="18"/>
          <w:lang w:val="zh-CN"/>
        </w:rPr>
        <w:t>）</w:t>
      </w:r>
    </w:p>
    <w:p w:rsidR="008323CD" w:rsidRPr="008323CD" w:rsidRDefault="008323CD" w:rsidP="008323C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323CD">
        <w:rPr>
          <w:rFonts w:ascii="黑体" w:eastAsia="黑体" w:cs="黑体"/>
          <w:color w:val="000000"/>
          <w:kern w:val="0"/>
          <w:sz w:val="18"/>
          <w:lang w:val="zh-CN"/>
        </w:rPr>
        <w:t>[</w:t>
      </w:r>
      <w:r w:rsidRPr="008323CD">
        <w:rPr>
          <w:rFonts w:ascii="黑体" w:eastAsia="黑体" w:cs="黑体" w:hint="eastAsia"/>
          <w:color w:val="000000"/>
          <w:kern w:val="0"/>
          <w:sz w:val="18"/>
          <w:lang w:val="zh-CN"/>
        </w:rPr>
        <w:t>摘要</w:t>
      </w:r>
      <w:r w:rsidRPr="008323CD">
        <w:rPr>
          <w:rFonts w:ascii="黑体" w:eastAsia="黑体" w:cs="黑体"/>
          <w:color w:val="000000"/>
          <w:kern w:val="0"/>
          <w:sz w:val="18"/>
          <w:lang w:val="zh-CN"/>
        </w:rPr>
        <w:t>]</w:t>
      </w:r>
      <w:r w:rsidRPr="008323CD">
        <w:rPr>
          <w:rFonts w:ascii="黑体" w:eastAsia="黑体" w:cs="黑体" w:hint="eastAsia"/>
          <w:color w:val="000000"/>
          <w:kern w:val="0"/>
          <w:sz w:val="18"/>
          <w:lang w:val="zh-CN"/>
        </w:rPr>
        <w:t>目的：</w:t>
      </w:r>
      <w:r w:rsidRPr="008323CD">
        <w:rPr>
          <w:rFonts w:ascii="楷体_GB2312" w:eastAsia="楷体_GB2312" w:cs="楷体_GB2312" w:hint="eastAsia"/>
          <w:color w:val="000000"/>
          <w:kern w:val="0"/>
          <w:sz w:val="18"/>
          <w:szCs w:val="18"/>
          <w:lang w:val="zh-CN"/>
        </w:rPr>
        <w:t>探讨窄谱中波紫外线配合活血解毒方对血瘀型银屑病患者血液流变学及血清</w:t>
      </w:r>
      <w:r w:rsidRPr="008323CD">
        <w:rPr>
          <w:rFonts w:ascii="楷体_GB2312" w:eastAsia="楷体_GB2312" w:cs="楷体_GB2312"/>
          <w:color w:val="000000"/>
          <w:kern w:val="0"/>
          <w:sz w:val="18"/>
          <w:szCs w:val="18"/>
          <w:lang w:val="zh-CN"/>
        </w:rPr>
        <w:t>Th1/Th2</w:t>
      </w:r>
      <w:r w:rsidRPr="008323CD">
        <w:rPr>
          <w:rFonts w:ascii="楷体_GB2312" w:eastAsia="楷体_GB2312" w:cs="楷体_GB2312" w:hint="eastAsia"/>
          <w:color w:val="000000"/>
          <w:kern w:val="0"/>
          <w:sz w:val="18"/>
          <w:szCs w:val="18"/>
          <w:lang w:val="zh-CN"/>
        </w:rPr>
        <w:t>细胞因子、白细胞介素</w:t>
      </w:r>
      <w:r w:rsidRPr="008323CD">
        <w:rPr>
          <w:rFonts w:ascii="楷体_GB2312" w:eastAsia="楷体_GB2312" w:cs="楷体_GB2312"/>
          <w:color w:val="000000"/>
          <w:kern w:val="0"/>
          <w:sz w:val="18"/>
          <w:szCs w:val="18"/>
          <w:lang w:val="zh-CN"/>
        </w:rPr>
        <w:t>-17</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IL-17</w:t>
      </w:r>
      <w:r w:rsidRPr="008323CD">
        <w:rPr>
          <w:rFonts w:ascii="楷体_GB2312" w:eastAsia="楷体_GB2312" w:cs="楷体_GB2312" w:hint="eastAsia"/>
          <w:color w:val="000000"/>
          <w:kern w:val="0"/>
          <w:sz w:val="18"/>
          <w:szCs w:val="18"/>
          <w:lang w:val="zh-CN"/>
        </w:rPr>
        <w:t>）表达的影响。</w:t>
      </w:r>
      <w:r w:rsidRPr="008323CD">
        <w:rPr>
          <w:rFonts w:ascii="黑体" w:eastAsia="黑体" w:cs="黑体" w:hint="eastAsia"/>
          <w:color w:val="000000"/>
          <w:kern w:val="0"/>
          <w:sz w:val="18"/>
          <w:lang w:val="zh-CN"/>
        </w:rPr>
        <w:t>方法：</w:t>
      </w:r>
      <w:r w:rsidRPr="008323CD">
        <w:rPr>
          <w:rFonts w:ascii="楷体_GB2312" w:eastAsia="楷体_GB2312" w:cs="楷体_GB2312" w:hint="eastAsia"/>
          <w:color w:val="000000"/>
          <w:kern w:val="0"/>
          <w:sz w:val="18"/>
          <w:szCs w:val="18"/>
          <w:lang w:val="zh-CN"/>
        </w:rPr>
        <w:t>选取</w:t>
      </w:r>
      <w:r w:rsidRPr="008323CD">
        <w:rPr>
          <w:rFonts w:ascii="楷体_GB2312" w:eastAsia="楷体_GB2312" w:cs="楷体_GB2312"/>
          <w:color w:val="000000"/>
          <w:kern w:val="0"/>
          <w:sz w:val="18"/>
          <w:szCs w:val="18"/>
          <w:lang w:val="zh-CN"/>
        </w:rPr>
        <w:t>2017</w:t>
      </w:r>
      <w:r w:rsidRPr="008323CD">
        <w:rPr>
          <w:rFonts w:ascii="楷体_GB2312" w:eastAsia="楷体_GB2312" w:cs="楷体_GB2312" w:hint="eastAsia"/>
          <w:color w:val="000000"/>
          <w:kern w:val="0"/>
          <w:sz w:val="18"/>
          <w:szCs w:val="18"/>
          <w:lang w:val="zh-CN"/>
        </w:rPr>
        <w:t>年</w:t>
      </w:r>
      <w:r w:rsidRPr="008323CD">
        <w:rPr>
          <w:rFonts w:ascii="楷体_GB2312" w:eastAsia="楷体_GB2312" w:cs="楷体_GB2312"/>
          <w:color w:val="000000"/>
          <w:kern w:val="0"/>
          <w:sz w:val="18"/>
          <w:szCs w:val="18"/>
          <w:lang w:val="zh-CN"/>
        </w:rPr>
        <w:t>8</w:t>
      </w:r>
      <w:r w:rsidRPr="008323CD">
        <w:rPr>
          <w:rFonts w:ascii="楷体_GB2312" w:eastAsia="楷体_GB2312" w:cs="楷体_GB2312" w:hint="eastAsia"/>
          <w:color w:val="000000"/>
          <w:kern w:val="0"/>
          <w:sz w:val="18"/>
          <w:szCs w:val="18"/>
          <w:lang w:val="zh-CN"/>
        </w:rPr>
        <w:t>月</w:t>
      </w:r>
      <w:r w:rsidRPr="008323CD">
        <w:rPr>
          <w:rFonts w:ascii="楷体_GB2312" w:eastAsia="楷体_GB2312" w:cs="楷体_GB2312"/>
          <w:color w:val="000000"/>
          <w:kern w:val="0"/>
          <w:sz w:val="18"/>
          <w:szCs w:val="18"/>
          <w:lang w:val="zh-CN"/>
        </w:rPr>
        <w:t>-2019</w:t>
      </w:r>
      <w:r w:rsidRPr="008323CD">
        <w:rPr>
          <w:rFonts w:ascii="楷体_GB2312" w:eastAsia="楷体_GB2312" w:cs="楷体_GB2312" w:hint="eastAsia"/>
          <w:color w:val="000000"/>
          <w:kern w:val="0"/>
          <w:sz w:val="18"/>
          <w:szCs w:val="18"/>
          <w:lang w:val="zh-CN"/>
        </w:rPr>
        <w:t>年</w:t>
      </w:r>
      <w:r w:rsidRPr="008323CD">
        <w:rPr>
          <w:rFonts w:ascii="楷体_GB2312" w:eastAsia="楷体_GB2312" w:cs="楷体_GB2312"/>
          <w:color w:val="000000"/>
          <w:kern w:val="0"/>
          <w:sz w:val="18"/>
          <w:szCs w:val="18"/>
          <w:lang w:val="zh-CN"/>
        </w:rPr>
        <w:t>10</w:t>
      </w:r>
      <w:r w:rsidRPr="008323CD">
        <w:rPr>
          <w:rFonts w:ascii="楷体_GB2312" w:eastAsia="楷体_GB2312" w:cs="楷体_GB2312" w:hint="eastAsia"/>
          <w:color w:val="000000"/>
          <w:kern w:val="0"/>
          <w:sz w:val="18"/>
          <w:szCs w:val="18"/>
          <w:lang w:val="zh-CN"/>
        </w:rPr>
        <w:t>月于笔者医院就诊的血瘀型银屑病患者</w:t>
      </w:r>
      <w:r w:rsidRPr="008323CD">
        <w:rPr>
          <w:rFonts w:ascii="楷体_GB2312" w:eastAsia="楷体_GB2312" w:cs="楷体_GB2312"/>
          <w:color w:val="000000"/>
          <w:kern w:val="0"/>
          <w:sz w:val="18"/>
          <w:szCs w:val="18"/>
          <w:lang w:val="zh-CN"/>
        </w:rPr>
        <w:t>112</w:t>
      </w:r>
      <w:r w:rsidRPr="008323CD">
        <w:rPr>
          <w:rFonts w:ascii="楷体_GB2312" w:eastAsia="楷体_GB2312" w:cs="楷体_GB2312" w:hint="eastAsia"/>
          <w:color w:val="000000"/>
          <w:kern w:val="0"/>
          <w:sz w:val="18"/>
          <w:szCs w:val="18"/>
          <w:lang w:val="zh-CN"/>
        </w:rPr>
        <w:t>例进行前瞻性随机对照研究，以计算机生成的随机数字表将患者分为研究组（</w:t>
      </w:r>
      <w:r w:rsidRPr="008323CD">
        <w:rPr>
          <w:rFonts w:ascii="楷体_GB2312" w:eastAsia="楷体_GB2312" w:cs="楷体_GB2312"/>
          <w:color w:val="000000"/>
          <w:kern w:val="0"/>
          <w:sz w:val="18"/>
          <w:szCs w:val="18"/>
          <w:lang w:val="zh-CN"/>
        </w:rPr>
        <w:t>n</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56</w:t>
      </w:r>
      <w:r w:rsidRPr="008323CD">
        <w:rPr>
          <w:rFonts w:ascii="楷体_GB2312" w:eastAsia="楷体_GB2312" w:cs="楷体_GB2312" w:hint="eastAsia"/>
          <w:color w:val="000000"/>
          <w:kern w:val="0"/>
          <w:sz w:val="18"/>
          <w:szCs w:val="18"/>
          <w:lang w:val="zh-CN"/>
        </w:rPr>
        <w:t>）和对照组（</w:t>
      </w:r>
      <w:r w:rsidRPr="008323CD">
        <w:rPr>
          <w:rFonts w:ascii="楷体_GB2312" w:eastAsia="楷体_GB2312" w:cs="楷体_GB2312"/>
          <w:color w:val="000000"/>
          <w:kern w:val="0"/>
          <w:sz w:val="18"/>
          <w:szCs w:val="18"/>
          <w:lang w:val="zh-CN"/>
        </w:rPr>
        <w:t>n</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56</w:t>
      </w:r>
      <w:r w:rsidRPr="008323CD">
        <w:rPr>
          <w:rFonts w:ascii="楷体_GB2312" w:eastAsia="楷体_GB2312" w:cs="楷体_GB2312" w:hint="eastAsia"/>
          <w:color w:val="000000"/>
          <w:kern w:val="0"/>
          <w:sz w:val="18"/>
          <w:szCs w:val="18"/>
          <w:lang w:val="zh-CN"/>
        </w:rPr>
        <w:t>）。对照组予以窄谱中波紫外线，研究组给予窄谱中波紫外线配合活血解毒方，均治疗</w:t>
      </w:r>
      <w:r w:rsidRPr="008323CD">
        <w:rPr>
          <w:rFonts w:ascii="楷体_GB2312" w:eastAsia="楷体_GB2312" w:cs="楷体_GB2312"/>
          <w:color w:val="000000"/>
          <w:kern w:val="0"/>
          <w:sz w:val="18"/>
          <w:szCs w:val="18"/>
          <w:lang w:val="zh-CN"/>
        </w:rPr>
        <w:t>2</w:t>
      </w:r>
      <w:r w:rsidRPr="008323CD">
        <w:rPr>
          <w:rFonts w:ascii="楷体_GB2312" w:eastAsia="楷体_GB2312" w:cs="楷体_GB2312" w:hint="eastAsia"/>
          <w:color w:val="000000"/>
          <w:kern w:val="0"/>
          <w:sz w:val="18"/>
          <w:szCs w:val="18"/>
          <w:lang w:val="zh-CN"/>
        </w:rPr>
        <w:t>个月。对比两组疗效、不良反应与治疗前后银屑病面积与严重性指数</w:t>
      </w:r>
      <w:r w:rsidRPr="008323CD">
        <w:rPr>
          <w:rFonts w:ascii="楷体_GB2312" w:eastAsia="楷体_GB2312" w:cs="楷体_GB2312"/>
          <w:color w:val="000000"/>
          <w:kern w:val="0"/>
          <w:sz w:val="18"/>
          <w:szCs w:val="18"/>
          <w:lang w:val="zh-CN"/>
        </w:rPr>
        <w:t>(Psoriasis area and severity index, PASI)</w:t>
      </w:r>
      <w:r w:rsidRPr="008323CD">
        <w:rPr>
          <w:rFonts w:ascii="楷体_GB2312" w:eastAsia="楷体_GB2312" w:cs="楷体_GB2312" w:hint="eastAsia"/>
          <w:color w:val="000000"/>
          <w:kern w:val="0"/>
          <w:sz w:val="18"/>
          <w:szCs w:val="18"/>
          <w:lang w:val="zh-CN"/>
        </w:rPr>
        <w:t>评分、皮肤病生活质量指数评分</w:t>
      </w:r>
      <w:r w:rsidRPr="008323CD">
        <w:rPr>
          <w:rFonts w:ascii="楷体_GB2312" w:eastAsia="楷体_GB2312" w:cs="楷体_GB2312"/>
          <w:color w:val="000000"/>
          <w:kern w:val="0"/>
          <w:sz w:val="18"/>
          <w:szCs w:val="18"/>
          <w:lang w:val="zh-CN"/>
        </w:rPr>
        <w:t>(Dermatology life quality index,</w:t>
      </w:r>
      <w:r w:rsidRPr="008323CD">
        <w:rPr>
          <w:rFonts w:ascii="楷体_GB2312" w:eastAsia="楷体_GB2312" w:cs="楷体_GB2312" w:hint="eastAsia"/>
          <w:color w:val="000000"/>
          <w:kern w:val="0"/>
          <w:sz w:val="18"/>
          <w:szCs w:val="18"/>
          <w:lang w:val="zh-CN"/>
        </w:rPr>
        <w:t> </w:t>
      </w:r>
      <w:r w:rsidRPr="008323CD">
        <w:rPr>
          <w:rFonts w:ascii="楷体_GB2312" w:eastAsia="楷体_GB2312" w:cs="楷体_GB2312"/>
          <w:color w:val="000000"/>
          <w:kern w:val="0"/>
          <w:sz w:val="18"/>
          <w:szCs w:val="18"/>
          <w:lang w:val="zh-CN"/>
        </w:rPr>
        <w:t>DLQI)</w:t>
      </w:r>
      <w:r w:rsidRPr="008323CD">
        <w:rPr>
          <w:rFonts w:ascii="楷体_GB2312" w:eastAsia="楷体_GB2312" w:cs="楷体_GB2312" w:hint="eastAsia"/>
          <w:color w:val="000000"/>
          <w:kern w:val="0"/>
          <w:sz w:val="18"/>
          <w:szCs w:val="18"/>
          <w:lang w:val="zh-CN"/>
        </w:rPr>
        <w:t>、血液流变学指标（全血黏度低切、全血黏度高切、红细胞压积、血沉）、血清免疫功能（</w:t>
      </w:r>
      <w:r w:rsidRPr="008323CD">
        <w:rPr>
          <w:rFonts w:ascii="楷体_GB2312" w:eastAsia="楷体_GB2312" w:cs="楷体_GB2312"/>
          <w:color w:val="000000"/>
          <w:kern w:val="0"/>
          <w:sz w:val="18"/>
          <w:szCs w:val="18"/>
          <w:lang w:val="zh-CN"/>
        </w:rPr>
        <w:t>CD4</w:t>
      </w:r>
      <w:r w:rsidRPr="008323CD">
        <w:rPr>
          <w:rFonts w:ascii="楷体_GB2312" w:eastAsia="楷体_GB2312" w:cs="楷体_GB2312"/>
          <w:color w:val="000000"/>
          <w:kern w:val="0"/>
          <w:sz w:val="18"/>
          <w:szCs w:val="18"/>
          <w:vertAlign w:val="superscript"/>
          <w:lang w:val="zh-CN"/>
        </w:rPr>
        <w:t>+</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CD8</w:t>
      </w:r>
      <w:r w:rsidRPr="008323CD">
        <w:rPr>
          <w:rFonts w:ascii="楷体_GB2312" w:eastAsia="楷体_GB2312" w:cs="楷体_GB2312"/>
          <w:color w:val="000000"/>
          <w:kern w:val="0"/>
          <w:sz w:val="18"/>
          <w:szCs w:val="18"/>
          <w:vertAlign w:val="superscript"/>
          <w:lang w:val="zh-CN"/>
        </w:rPr>
        <w:t>+</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CD4</w:t>
      </w:r>
      <w:r w:rsidRPr="008323CD">
        <w:rPr>
          <w:rFonts w:ascii="楷体_GB2312" w:eastAsia="楷体_GB2312" w:cs="楷体_GB2312"/>
          <w:color w:val="000000"/>
          <w:kern w:val="0"/>
          <w:sz w:val="18"/>
          <w:szCs w:val="18"/>
          <w:vertAlign w:val="superscript"/>
          <w:lang w:val="zh-CN"/>
        </w:rPr>
        <w:t>+</w:t>
      </w:r>
      <w:r w:rsidRPr="008323CD">
        <w:rPr>
          <w:rFonts w:ascii="楷体_GB2312" w:eastAsia="楷体_GB2312" w:cs="楷体_GB2312"/>
          <w:color w:val="000000"/>
          <w:kern w:val="0"/>
          <w:sz w:val="18"/>
          <w:szCs w:val="18"/>
          <w:lang w:val="zh-CN"/>
        </w:rPr>
        <w:t>/CD8</w:t>
      </w:r>
      <w:r w:rsidRPr="008323CD">
        <w:rPr>
          <w:rFonts w:ascii="楷体_GB2312" w:eastAsia="楷体_GB2312" w:cs="楷体_GB2312"/>
          <w:color w:val="000000"/>
          <w:kern w:val="0"/>
          <w:sz w:val="18"/>
          <w:szCs w:val="18"/>
          <w:vertAlign w:val="superscript"/>
          <w:lang w:val="zh-CN"/>
        </w:rPr>
        <w:t>+</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Th1/Th2</w:t>
      </w:r>
      <w:r w:rsidRPr="008323CD">
        <w:rPr>
          <w:rFonts w:ascii="楷体_GB2312" w:eastAsia="楷体_GB2312" w:cs="楷体_GB2312" w:hint="eastAsia"/>
          <w:color w:val="000000"/>
          <w:kern w:val="0"/>
          <w:sz w:val="18"/>
          <w:szCs w:val="18"/>
          <w:lang w:val="zh-CN"/>
        </w:rPr>
        <w:t>细胞因子［白细胞</w:t>
      </w:r>
      <w:r w:rsidRPr="008323CD">
        <w:rPr>
          <w:rFonts w:ascii="楷体_GB2312" w:eastAsia="楷体_GB2312" w:cs="楷体_GB2312" w:hint="eastAsia"/>
          <w:color w:val="000000"/>
          <w:spacing w:val="4"/>
          <w:kern w:val="0"/>
          <w:sz w:val="18"/>
          <w:szCs w:val="18"/>
          <w:lang w:val="zh-CN"/>
        </w:rPr>
        <w:t>介素</w:t>
      </w:r>
      <w:r w:rsidRPr="008323CD">
        <w:rPr>
          <w:rFonts w:ascii="楷体_GB2312" w:eastAsia="楷体_GB2312" w:cs="楷体_GB2312"/>
          <w:color w:val="000000"/>
          <w:spacing w:val="4"/>
          <w:kern w:val="0"/>
          <w:sz w:val="18"/>
          <w:szCs w:val="18"/>
          <w:lang w:val="zh-CN"/>
        </w:rPr>
        <w:t>-10</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IL-10</w:t>
      </w:r>
      <w:r w:rsidRPr="008323CD">
        <w:rPr>
          <w:rFonts w:ascii="楷体_GB2312" w:eastAsia="楷体_GB2312" w:cs="楷体_GB2312" w:hint="eastAsia"/>
          <w:color w:val="000000"/>
          <w:spacing w:val="4"/>
          <w:kern w:val="0"/>
          <w:sz w:val="18"/>
          <w:szCs w:val="18"/>
          <w:lang w:val="zh-CN"/>
        </w:rPr>
        <w:t>）、白细胞介素</w:t>
      </w:r>
      <w:r w:rsidRPr="008323CD">
        <w:rPr>
          <w:rFonts w:ascii="楷体_GB2312" w:eastAsia="楷体_GB2312" w:cs="楷体_GB2312"/>
          <w:color w:val="000000"/>
          <w:spacing w:val="4"/>
          <w:kern w:val="0"/>
          <w:sz w:val="18"/>
          <w:szCs w:val="18"/>
          <w:lang w:val="zh-CN"/>
        </w:rPr>
        <w:t>-4</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IL-4</w:t>
      </w:r>
      <w:r w:rsidRPr="008323CD">
        <w:rPr>
          <w:rFonts w:ascii="楷体_GB2312" w:eastAsia="楷体_GB2312" w:cs="楷体_GB2312" w:hint="eastAsia"/>
          <w:color w:val="000000"/>
          <w:spacing w:val="4"/>
          <w:kern w:val="0"/>
          <w:sz w:val="18"/>
          <w:szCs w:val="18"/>
          <w:lang w:val="zh-CN"/>
        </w:rPr>
        <w:t>）、干扰素</w:t>
      </w:r>
      <w:r w:rsidRPr="008323CD">
        <w:rPr>
          <w:rFonts w:ascii="楷体_GB2312" w:eastAsia="楷体_GB2312" w:cs="楷体_GB2312"/>
          <w:color w:val="000000"/>
          <w:spacing w:val="4"/>
          <w:kern w:val="0"/>
          <w:sz w:val="18"/>
          <w:szCs w:val="18"/>
          <w:lang w:val="zh-CN"/>
        </w:rPr>
        <w:t>-</w:t>
      </w:r>
      <w:r w:rsidRPr="008323CD">
        <w:rPr>
          <w:rFonts w:ascii="楷体_GB2312" w:eastAsia="楷体_GB2312" w:cs="楷体_GB2312" w:hint="eastAsia"/>
          <w:color w:val="000000"/>
          <w:spacing w:val="4"/>
          <w:kern w:val="0"/>
          <w:sz w:val="18"/>
          <w:szCs w:val="18"/>
          <w:lang w:val="zh-CN"/>
        </w:rPr>
        <w:t>γ（</w:t>
      </w:r>
      <w:r w:rsidRPr="008323CD">
        <w:rPr>
          <w:rFonts w:ascii="楷体_GB2312" w:eastAsia="楷体_GB2312" w:cs="楷体_GB2312"/>
          <w:color w:val="000000"/>
          <w:spacing w:val="4"/>
          <w:kern w:val="0"/>
          <w:sz w:val="18"/>
          <w:szCs w:val="18"/>
          <w:lang w:val="zh-CN"/>
        </w:rPr>
        <w:t>IFN-</w:t>
      </w:r>
      <w:r w:rsidRPr="008323CD">
        <w:rPr>
          <w:rFonts w:ascii="楷体_GB2312" w:eastAsia="楷体_GB2312" w:cs="楷体_GB2312" w:hint="eastAsia"/>
          <w:color w:val="000000"/>
          <w:spacing w:val="4"/>
          <w:kern w:val="0"/>
          <w:sz w:val="18"/>
          <w:szCs w:val="18"/>
          <w:lang w:val="zh-CN"/>
        </w:rPr>
        <w:t>γ）、白细胞介素</w:t>
      </w:r>
      <w:r w:rsidRPr="008323CD">
        <w:rPr>
          <w:rFonts w:ascii="楷体_GB2312" w:eastAsia="楷体_GB2312" w:cs="楷体_GB2312"/>
          <w:color w:val="000000"/>
          <w:spacing w:val="4"/>
          <w:kern w:val="0"/>
          <w:sz w:val="18"/>
          <w:szCs w:val="18"/>
          <w:lang w:val="zh-CN"/>
        </w:rPr>
        <w:t>-2</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IL-2</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IL-17</w:t>
      </w:r>
      <w:r w:rsidRPr="008323CD">
        <w:rPr>
          <w:rFonts w:ascii="楷体_GB2312" w:eastAsia="楷体_GB2312" w:cs="楷体_GB2312" w:hint="eastAsia"/>
          <w:color w:val="000000"/>
          <w:spacing w:val="4"/>
          <w:kern w:val="0"/>
          <w:sz w:val="18"/>
          <w:szCs w:val="18"/>
          <w:lang w:val="zh-CN"/>
        </w:rPr>
        <w:t>水平</w:t>
      </w:r>
      <w:r w:rsidRPr="008323CD">
        <w:rPr>
          <w:rFonts w:ascii="楷体_GB2312" w:eastAsia="楷体_GB2312" w:cs="楷体_GB2312" w:hint="eastAsia"/>
          <w:color w:val="000000"/>
          <w:kern w:val="0"/>
          <w:sz w:val="18"/>
          <w:szCs w:val="18"/>
          <w:lang w:val="zh-CN"/>
        </w:rPr>
        <w:t>。</w:t>
      </w:r>
      <w:r w:rsidRPr="008323CD">
        <w:rPr>
          <w:rFonts w:ascii="黑体" w:eastAsia="黑体" w:cs="黑体" w:hint="eastAsia"/>
          <w:color w:val="000000"/>
          <w:kern w:val="0"/>
          <w:sz w:val="18"/>
          <w:lang w:val="zh-CN"/>
        </w:rPr>
        <w:t>结果：</w:t>
      </w:r>
      <w:r w:rsidRPr="008323CD">
        <w:rPr>
          <w:rFonts w:ascii="楷体_GB2312" w:eastAsia="楷体_GB2312" w:cs="楷体_GB2312" w:hint="eastAsia"/>
          <w:color w:val="000000"/>
          <w:kern w:val="0"/>
          <w:sz w:val="18"/>
          <w:szCs w:val="18"/>
          <w:lang w:val="zh-CN"/>
        </w:rPr>
        <w:t>研究组总有效率为</w:t>
      </w:r>
      <w:r w:rsidRPr="008323CD">
        <w:rPr>
          <w:rFonts w:ascii="楷体_GB2312" w:eastAsia="楷体_GB2312" w:cs="楷体_GB2312"/>
          <w:color w:val="000000"/>
          <w:kern w:val="0"/>
          <w:sz w:val="18"/>
          <w:szCs w:val="18"/>
          <w:lang w:val="zh-CN"/>
        </w:rPr>
        <w:t>91.07%</w:t>
      </w:r>
      <w:r w:rsidRPr="008323CD">
        <w:rPr>
          <w:rFonts w:ascii="楷体_GB2312" w:eastAsia="楷体_GB2312" w:cs="楷体_GB2312" w:hint="eastAsia"/>
          <w:color w:val="000000"/>
          <w:kern w:val="0"/>
          <w:sz w:val="18"/>
          <w:szCs w:val="18"/>
          <w:lang w:val="zh-CN"/>
        </w:rPr>
        <w:t>，高于对照组</w:t>
      </w:r>
      <w:r w:rsidRPr="008323CD">
        <w:rPr>
          <w:rFonts w:ascii="楷体_GB2312" w:eastAsia="楷体_GB2312" w:cs="楷体_GB2312"/>
          <w:color w:val="000000"/>
          <w:kern w:val="0"/>
          <w:sz w:val="18"/>
          <w:szCs w:val="18"/>
          <w:lang w:val="zh-CN"/>
        </w:rPr>
        <w:t>76.79%</w:t>
      </w:r>
      <w:r w:rsidRPr="008323CD">
        <w:rPr>
          <w:rFonts w:ascii="楷体_GB2312" w:eastAsia="楷体_GB2312" w:cs="楷体_GB2312" w:hint="eastAsia"/>
          <w:color w:val="000000"/>
          <w:kern w:val="0"/>
          <w:sz w:val="18"/>
          <w:szCs w:val="18"/>
          <w:lang w:val="zh-CN"/>
        </w:rPr>
        <w:t>，差异有统计学意义（</w:t>
      </w:r>
      <w:r w:rsidRPr="008323CD">
        <w:rPr>
          <w:rFonts w:ascii="楷体_GB2312" w:eastAsia="楷体_GB2312" w:cs="楷体_GB2312"/>
          <w:color w:val="000000"/>
          <w:kern w:val="0"/>
          <w:sz w:val="18"/>
          <w:szCs w:val="18"/>
          <w:lang w:val="zh-CN"/>
        </w:rPr>
        <w:t>P</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0.05</w:t>
      </w:r>
      <w:r w:rsidRPr="008323CD">
        <w:rPr>
          <w:rFonts w:ascii="楷体_GB2312" w:eastAsia="楷体_GB2312" w:cs="楷体_GB2312" w:hint="eastAsia"/>
          <w:color w:val="000000"/>
          <w:kern w:val="0"/>
          <w:sz w:val="18"/>
          <w:szCs w:val="18"/>
          <w:lang w:val="zh-CN"/>
        </w:rPr>
        <w:t>），两组不良反应发生率差异无统计学意义（</w:t>
      </w:r>
      <w:r w:rsidRPr="008323CD">
        <w:rPr>
          <w:rFonts w:ascii="楷体_GB2312" w:eastAsia="楷体_GB2312" w:cs="楷体_GB2312"/>
          <w:color w:val="000000"/>
          <w:kern w:val="0"/>
          <w:sz w:val="18"/>
          <w:szCs w:val="18"/>
          <w:lang w:val="zh-CN"/>
        </w:rPr>
        <w:t>P</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0.05</w:t>
      </w:r>
      <w:r w:rsidRPr="008323CD">
        <w:rPr>
          <w:rFonts w:ascii="楷体_GB2312" w:eastAsia="楷体_GB2312" w:cs="楷体_GB2312" w:hint="eastAsia"/>
          <w:color w:val="000000"/>
          <w:kern w:val="0"/>
          <w:sz w:val="18"/>
          <w:szCs w:val="18"/>
          <w:lang w:val="zh-CN"/>
        </w:rPr>
        <w:t>）；两组治疗后</w:t>
      </w:r>
      <w:r w:rsidRPr="008323CD">
        <w:rPr>
          <w:rFonts w:ascii="楷体_GB2312" w:eastAsia="楷体_GB2312" w:cs="楷体_GB2312"/>
          <w:color w:val="000000"/>
          <w:kern w:val="0"/>
          <w:sz w:val="18"/>
          <w:szCs w:val="18"/>
          <w:lang w:val="zh-CN"/>
        </w:rPr>
        <w:t>PASI</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DLQI</w:t>
      </w:r>
      <w:r w:rsidRPr="008323CD">
        <w:rPr>
          <w:rFonts w:ascii="楷体_GB2312" w:eastAsia="楷体_GB2312" w:cs="楷体_GB2312" w:hint="eastAsia"/>
          <w:color w:val="000000"/>
          <w:kern w:val="0"/>
          <w:sz w:val="18"/>
          <w:szCs w:val="18"/>
          <w:lang w:val="zh-CN"/>
        </w:rPr>
        <w:t>评分较治疗前降低，且研究组低于对照组，差异有统计学意义（</w:t>
      </w:r>
      <w:r w:rsidRPr="008323CD">
        <w:rPr>
          <w:rFonts w:ascii="楷体_GB2312" w:eastAsia="楷体_GB2312" w:cs="楷体_GB2312"/>
          <w:color w:val="000000"/>
          <w:kern w:val="0"/>
          <w:sz w:val="18"/>
          <w:szCs w:val="18"/>
          <w:lang w:val="zh-CN"/>
        </w:rPr>
        <w:t>P</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0.</w:t>
      </w:r>
      <w:r w:rsidRPr="008323CD">
        <w:rPr>
          <w:rFonts w:ascii="楷体_GB2312" w:eastAsia="楷体_GB2312" w:cs="楷体_GB2312"/>
          <w:color w:val="000000"/>
          <w:spacing w:val="-4"/>
          <w:kern w:val="0"/>
          <w:sz w:val="18"/>
          <w:szCs w:val="18"/>
          <w:lang w:val="zh-CN"/>
        </w:rPr>
        <w:t>05</w:t>
      </w:r>
      <w:r w:rsidRPr="008323CD">
        <w:rPr>
          <w:rFonts w:ascii="楷体_GB2312" w:eastAsia="楷体_GB2312" w:cs="楷体_GB2312" w:hint="eastAsia"/>
          <w:color w:val="000000"/>
          <w:kern w:val="0"/>
          <w:sz w:val="18"/>
          <w:szCs w:val="18"/>
          <w:lang w:val="zh-CN"/>
        </w:rPr>
        <w:t>）；治疗后，</w:t>
      </w:r>
      <w:r w:rsidRPr="008323CD">
        <w:rPr>
          <w:rFonts w:ascii="楷体_GB2312" w:eastAsia="楷体_GB2312" w:cs="楷体_GB2312" w:hint="eastAsia"/>
          <w:color w:val="000000"/>
          <w:spacing w:val="-4"/>
          <w:kern w:val="0"/>
          <w:sz w:val="18"/>
          <w:szCs w:val="18"/>
          <w:lang w:val="zh-CN"/>
        </w:rPr>
        <w:t>两组全血黏度低切、全血黏度高切、红细胞压积、血沉均降低，研究组降低幅度较高，差异有统计学意义（</w:t>
      </w:r>
      <w:r w:rsidRPr="008323CD">
        <w:rPr>
          <w:rFonts w:ascii="楷体_GB2312" w:eastAsia="楷体_GB2312" w:cs="楷体_GB2312"/>
          <w:color w:val="000000"/>
          <w:spacing w:val="-4"/>
          <w:kern w:val="0"/>
          <w:sz w:val="18"/>
          <w:szCs w:val="18"/>
          <w:lang w:val="zh-CN"/>
        </w:rPr>
        <w:t>P</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0.05</w:t>
      </w:r>
      <w:r w:rsidRPr="008323CD">
        <w:rPr>
          <w:rFonts w:ascii="楷体_GB2312" w:eastAsia="楷体_GB2312" w:cs="楷体_GB2312" w:hint="eastAsia"/>
          <w:color w:val="000000"/>
          <w:kern w:val="0"/>
          <w:sz w:val="18"/>
          <w:szCs w:val="18"/>
          <w:lang w:val="zh-CN"/>
        </w:rPr>
        <w:t>）；治疗后</w:t>
      </w:r>
      <w:r w:rsidRPr="008323CD">
        <w:rPr>
          <w:rFonts w:ascii="楷体_GB2312" w:eastAsia="楷体_GB2312" w:cs="楷体_GB2312" w:hint="eastAsia"/>
          <w:color w:val="000000"/>
          <w:spacing w:val="4"/>
          <w:kern w:val="0"/>
          <w:sz w:val="18"/>
          <w:szCs w:val="18"/>
          <w:lang w:val="zh-CN"/>
        </w:rPr>
        <w:t>，两组血清</w:t>
      </w:r>
      <w:r w:rsidRPr="008323CD">
        <w:rPr>
          <w:rFonts w:ascii="楷体_GB2312" w:eastAsia="楷体_GB2312" w:cs="楷体_GB2312"/>
          <w:color w:val="000000"/>
          <w:spacing w:val="4"/>
          <w:kern w:val="0"/>
          <w:sz w:val="18"/>
          <w:szCs w:val="18"/>
          <w:lang w:val="zh-CN"/>
        </w:rPr>
        <w:t>CD4</w:t>
      </w:r>
      <w:r w:rsidRPr="008323CD">
        <w:rPr>
          <w:rFonts w:ascii="楷体_GB2312" w:eastAsia="楷体_GB2312" w:cs="楷体_GB2312"/>
          <w:color w:val="000000"/>
          <w:spacing w:val="4"/>
          <w:kern w:val="0"/>
          <w:sz w:val="18"/>
          <w:szCs w:val="18"/>
          <w:vertAlign w:val="superscript"/>
          <w:lang w:val="zh-CN"/>
        </w:rPr>
        <w:t>+</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CD8</w:t>
      </w:r>
      <w:r w:rsidRPr="008323CD">
        <w:rPr>
          <w:rFonts w:ascii="楷体_GB2312" w:eastAsia="楷体_GB2312" w:cs="楷体_GB2312"/>
          <w:color w:val="000000"/>
          <w:spacing w:val="4"/>
          <w:kern w:val="0"/>
          <w:sz w:val="18"/>
          <w:szCs w:val="18"/>
          <w:vertAlign w:val="superscript"/>
          <w:lang w:val="zh-CN"/>
        </w:rPr>
        <w:t>+</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CD4</w:t>
      </w:r>
      <w:r w:rsidRPr="008323CD">
        <w:rPr>
          <w:rFonts w:ascii="楷体_GB2312" w:eastAsia="楷体_GB2312" w:cs="楷体_GB2312"/>
          <w:color w:val="000000"/>
          <w:spacing w:val="4"/>
          <w:kern w:val="0"/>
          <w:sz w:val="18"/>
          <w:szCs w:val="18"/>
          <w:vertAlign w:val="superscript"/>
          <w:lang w:val="zh-CN"/>
        </w:rPr>
        <w:t>+</w:t>
      </w:r>
      <w:r w:rsidRPr="008323CD">
        <w:rPr>
          <w:rFonts w:ascii="楷体_GB2312" w:eastAsia="楷体_GB2312" w:cs="楷体_GB2312"/>
          <w:color w:val="000000"/>
          <w:spacing w:val="4"/>
          <w:kern w:val="0"/>
          <w:sz w:val="18"/>
          <w:szCs w:val="18"/>
          <w:lang w:val="zh-CN"/>
        </w:rPr>
        <w:t>/CD8</w:t>
      </w:r>
      <w:r w:rsidRPr="008323CD">
        <w:rPr>
          <w:rFonts w:ascii="楷体_GB2312" w:eastAsia="楷体_GB2312" w:cs="楷体_GB2312"/>
          <w:color w:val="000000"/>
          <w:spacing w:val="4"/>
          <w:kern w:val="0"/>
          <w:sz w:val="18"/>
          <w:szCs w:val="18"/>
          <w:vertAlign w:val="superscript"/>
          <w:lang w:val="zh-CN"/>
        </w:rPr>
        <w:t>+</w:t>
      </w:r>
      <w:r w:rsidRPr="008323CD">
        <w:rPr>
          <w:rFonts w:ascii="楷体_GB2312" w:eastAsia="楷体_GB2312" w:cs="楷体_GB2312" w:hint="eastAsia"/>
          <w:color w:val="000000"/>
          <w:spacing w:val="4"/>
          <w:kern w:val="0"/>
          <w:sz w:val="18"/>
          <w:szCs w:val="18"/>
          <w:lang w:val="zh-CN"/>
        </w:rPr>
        <w:t>水平、血清</w:t>
      </w:r>
      <w:r w:rsidRPr="008323CD">
        <w:rPr>
          <w:rFonts w:ascii="楷体_GB2312" w:eastAsia="楷体_GB2312" w:cs="楷体_GB2312"/>
          <w:color w:val="000000"/>
          <w:spacing w:val="4"/>
          <w:kern w:val="0"/>
          <w:sz w:val="18"/>
          <w:szCs w:val="18"/>
          <w:lang w:val="zh-CN"/>
        </w:rPr>
        <w:t>IL-10</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IL-4</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IFN-</w:t>
      </w:r>
      <w:r w:rsidRPr="008323CD">
        <w:rPr>
          <w:rFonts w:ascii="楷体_GB2312" w:eastAsia="楷体_GB2312" w:cs="楷体_GB2312" w:hint="eastAsia"/>
          <w:color w:val="000000"/>
          <w:spacing w:val="4"/>
          <w:kern w:val="0"/>
          <w:sz w:val="18"/>
          <w:szCs w:val="18"/>
          <w:lang w:val="zh-CN"/>
        </w:rPr>
        <w:t>γ、</w:t>
      </w:r>
      <w:r w:rsidRPr="008323CD">
        <w:rPr>
          <w:rFonts w:ascii="楷体_GB2312" w:eastAsia="楷体_GB2312" w:cs="楷体_GB2312"/>
          <w:color w:val="000000"/>
          <w:spacing w:val="4"/>
          <w:kern w:val="0"/>
          <w:sz w:val="18"/>
          <w:szCs w:val="18"/>
          <w:lang w:val="zh-CN"/>
        </w:rPr>
        <w:t>IL-2</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IL-17</w:t>
      </w:r>
      <w:r w:rsidRPr="008323CD">
        <w:rPr>
          <w:rFonts w:ascii="楷体_GB2312" w:eastAsia="楷体_GB2312" w:cs="楷体_GB2312" w:hint="eastAsia"/>
          <w:color w:val="000000"/>
          <w:spacing w:val="4"/>
          <w:kern w:val="0"/>
          <w:sz w:val="18"/>
          <w:szCs w:val="18"/>
          <w:lang w:val="zh-CN"/>
        </w:rPr>
        <w:t>水平均明显改善，且研究组均优于对照组，差异有统计学意义（</w:t>
      </w:r>
      <w:r w:rsidRPr="008323CD">
        <w:rPr>
          <w:rFonts w:ascii="楷体_GB2312" w:eastAsia="楷体_GB2312" w:cs="楷体_GB2312"/>
          <w:color w:val="000000"/>
          <w:spacing w:val="4"/>
          <w:kern w:val="0"/>
          <w:sz w:val="18"/>
          <w:szCs w:val="18"/>
          <w:lang w:val="zh-CN"/>
        </w:rPr>
        <w:t>P</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0.05</w:t>
      </w:r>
      <w:r w:rsidRPr="008323CD">
        <w:rPr>
          <w:rFonts w:ascii="楷体_GB2312" w:eastAsia="楷体_GB2312" w:cs="楷体_GB2312" w:hint="eastAsia"/>
          <w:color w:val="000000"/>
          <w:spacing w:val="4"/>
          <w:kern w:val="0"/>
          <w:sz w:val="18"/>
          <w:szCs w:val="18"/>
          <w:lang w:val="zh-CN"/>
        </w:rPr>
        <w:t>）。</w:t>
      </w:r>
      <w:r w:rsidRPr="008323CD">
        <w:rPr>
          <w:rFonts w:ascii="黑体" w:eastAsia="黑体" w:cs="黑体" w:hint="eastAsia"/>
          <w:color w:val="000000"/>
          <w:spacing w:val="4"/>
          <w:kern w:val="0"/>
          <w:sz w:val="18"/>
          <w:lang w:val="zh-CN"/>
        </w:rPr>
        <w:t>结论：</w:t>
      </w:r>
      <w:r w:rsidRPr="008323CD">
        <w:rPr>
          <w:rFonts w:ascii="楷体_GB2312" w:eastAsia="楷体_GB2312" w:cs="楷体_GB2312" w:hint="eastAsia"/>
          <w:color w:val="000000"/>
          <w:spacing w:val="4"/>
          <w:kern w:val="0"/>
          <w:sz w:val="18"/>
          <w:szCs w:val="18"/>
          <w:lang w:val="zh-CN"/>
        </w:rPr>
        <w:t>窄谱中波紫外线配合活血解毒方治疗血瘀型银屑病患者临床疗效显著，且安全性良好，可有效改善机体血液流变学及免疫状态，调节</w:t>
      </w:r>
      <w:r w:rsidRPr="008323CD">
        <w:rPr>
          <w:rFonts w:ascii="楷体_GB2312" w:eastAsia="楷体_GB2312" w:cs="楷体_GB2312"/>
          <w:color w:val="000000"/>
          <w:spacing w:val="4"/>
          <w:kern w:val="0"/>
          <w:sz w:val="18"/>
          <w:szCs w:val="18"/>
          <w:lang w:val="zh-CN"/>
        </w:rPr>
        <w:t>Th1/Th2</w:t>
      </w:r>
      <w:r w:rsidRPr="008323CD">
        <w:rPr>
          <w:rFonts w:ascii="楷体_GB2312" w:eastAsia="楷体_GB2312" w:cs="楷体_GB2312" w:hint="eastAsia"/>
          <w:color w:val="000000"/>
          <w:spacing w:val="4"/>
          <w:kern w:val="0"/>
          <w:sz w:val="18"/>
          <w:szCs w:val="18"/>
          <w:lang w:val="zh-CN"/>
        </w:rPr>
        <w:t>、</w:t>
      </w:r>
      <w:r w:rsidRPr="008323CD">
        <w:rPr>
          <w:rFonts w:ascii="楷体_GB2312" w:eastAsia="楷体_GB2312" w:cs="楷体_GB2312"/>
          <w:color w:val="000000"/>
          <w:spacing w:val="4"/>
          <w:kern w:val="0"/>
          <w:sz w:val="18"/>
          <w:szCs w:val="18"/>
          <w:lang w:val="zh-CN"/>
        </w:rPr>
        <w:t>IL-17</w:t>
      </w:r>
      <w:r w:rsidRPr="008323CD">
        <w:rPr>
          <w:rFonts w:ascii="楷体_GB2312" w:eastAsia="楷体_GB2312" w:cs="楷体_GB2312" w:hint="eastAsia"/>
          <w:color w:val="000000"/>
          <w:spacing w:val="4"/>
          <w:kern w:val="0"/>
          <w:sz w:val="18"/>
          <w:szCs w:val="18"/>
          <w:lang w:val="zh-CN"/>
        </w:rPr>
        <w:t>表达，进而促进患者皮损症状改善，提升生活质量。</w:t>
      </w:r>
    </w:p>
    <w:p w:rsidR="008323CD" w:rsidRPr="008323CD" w:rsidRDefault="008323CD" w:rsidP="008323C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323CD">
        <w:rPr>
          <w:rFonts w:ascii="黑体" w:eastAsia="黑体" w:cs="黑体"/>
          <w:color w:val="000000"/>
          <w:kern w:val="0"/>
          <w:sz w:val="18"/>
          <w:lang w:val="zh-CN"/>
        </w:rPr>
        <w:t>[</w:t>
      </w:r>
      <w:r w:rsidRPr="008323CD">
        <w:rPr>
          <w:rFonts w:ascii="黑体" w:eastAsia="黑体" w:cs="黑体" w:hint="eastAsia"/>
          <w:color w:val="000000"/>
          <w:kern w:val="0"/>
          <w:sz w:val="18"/>
          <w:lang w:val="zh-CN"/>
        </w:rPr>
        <w:t>关键词</w:t>
      </w:r>
      <w:r w:rsidRPr="008323CD">
        <w:rPr>
          <w:rFonts w:ascii="黑体" w:eastAsia="黑体" w:cs="黑体"/>
          <w:color w:val="000000"/>
          <w:kern w:val="0"/>
          <w:sz w:val="18"/>
          <w:lang w:val="zh-CN"/>
        </w:rPr>
        <w:t>]</w:t>
      </w:r>
      <w:r w:rsidRPr="008323CD">
        <w:rPr>
          <w:rFonts w:ascii="楷体_GB2312" w:eastAsia="楷体_GB2312" w:cs="楷体_GB2312" w:hint="eastAsia"/>
          <w:color w:val="000000"/>
          <w:kern w:val="0"/>
          <w:sz w:val="18"/>
          <w:szCs w:val="18"/>
          <w:lang w:val="zh-CN"/>
        </w:rPr>
        <w:t>血瘀型银屑病；窄谱中波紫外线；活血解毒方；血液流变学；免疫功能</w:t>
      </w:r>
    </w:p>
    <w:p w:rsidR="008323CD" w:rsidRPr="008323CD" w:rsidRDefault="008323CD" w:rsidP="008323C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323CD">
        <w:rPr>
          <w:rFonts w:ascii="黑体" w:eastAsia="黑体" w:cs="黑体"/>
          <w:color w:val="000000"/>
          <w:kern w:val="0"/>
          <w:sz w:val="18"/>
          <w:lang w:val="zh-CN"/>
        </w:rPr>
        <w:t>[</w:t>
      </w:r>
      <w:r w:rsidRPr="008323CD">
        <w:rPr>
          <w:rFonts w:ascii="黑体" w:eastAsia="黑体" w:cs="黑体" w:hint="eastAsia"/>
          <w:color w:val="000000"/>
          <w:kern w:val="0"/>
          <w:sz w:val="18"/>
          <w:lang w:val="zh-CN"/>
        </w:rPr>
        <w:t>中图分类号</w:t>
      </w:r>
      <w:r w:rsidRPr="008323CD">
        <w:rPr>
          <w:rFonts w:ascii="黑体" w:eastAsia="黑体" w:cs="黑体"/>
          <w:color w:val="000000"/>
          <w:kern w:val="0"/>
          <w:sz w:val="18"/>
          <w:lang w:val="zh-CN"/>
        </w:rPr>
        <w:t>]</w:t>
      </w:r>
      <w:r w:rsidRPr="008323CD">
        <w:rPr>
          <w:rFonts w:ascii="楷体_GB2312" w:eastAsia="楷体_GB2312" w:cs="楷体_GB2312"/>
          <w:color w:val="000000"/>
          <w:kern w:val="0"/>
          <w:sz w:val="18"/>
          <w:szCs w:val="18"/>
          <w:lang w:val="zh-CN"/>
        </w:rPr>
        <w:t xml:space="preserve">R758.63    </w:t>
      </w:r>
      <w:r w:rsidRPr="008323CD">
        <w:rPr>
          <w:rFonts w:ascii="黑体" w:eastAsia="黑体" w:cs="黑体"/>
          <w:color w:val="000000"/>
          <w:kern w:val="0"/>
          <w:sz w:val="18"/>
          <w:lang w:val="zh-CN"/>
        </w:rPr>
        <w:t>[</w:t>
      </w:r>
      <w:r w:rsidRPr="008323CD">
        <w:rPr>
          <w:rFonts w:ascii="黑体" w:eastAsia="黑体" w:cs="黑体" w:hint="eastAsia"/>
          <w:color w:val="000000"/>
          <w:kern w:val="0"/>
          <w:sz w:val="18"/>
          <w:lang w:val="zh-CN"/>
        </w:rPr>
        <w:t>文献标志码</w:t>
      </w:r>
      <w:r w:rsidRPr="008323CD">
        <w:rPr>
          <w:rFonts w:ascii="黑体" w:eastAsia="黑体" w:cs="黑体"/>
          <w:color w:val="000000"/>
          <w:kern w:val="0"/>
          <w:sz w:val="18"/>
          <w:lang w:val="zh-CN"/>
        </w:rPr>
        <w:t>]</w:t>
      </w:r>
      <w:r w:rsidRPr="008323CD">
        <w:rPr>
          <w:rFonts w:ascii="楷体_GB2312" w:eastAsia="楷体_GB2312" w:cs="楷体_GB2312"/>
          <w:color w:val="000000"/>
          <w:kern w:val="0"/>
          <w:sz w:val="18"/>
          <w:szCs w:val="18"/>
          <w:lang w:val="zh-CN"/>
        </w:rPr>
        <w:t xml:space="preserve">A   </w:t>
      </w:r>
      <w:r w:rsidRPr="008323CD">
        <w:rPr>
          <w:rFonts w:ascii="黑体" w:eastAsia="黑体" w:cs="黑体"/>
          <w:color w:val="000000"/>
          <w:kern w:val="0"/>
          <w:sz w:val="18"/>
          <w:lang w:val="zh-CN"/>
        </w:rPr>
        <w:t xml:space="preserve"> [</w:t>
      </w:r>
      <w:r w:rsidRPr="008323CD">
        <w:rPr>
          <w:rFonts w:ascii="黑体" w:eastAsia="黑体" w:cs="黑体" w:hint="eastAsia"/>
          <w:color w:val="000000"/>
          <w:kern w:val="0"/>
          <w:sz w:val="18"/>
          <w:lang w:val="zh-CN"/>
        </w:rPr>
        <w:t>文章编号</w:t>
      </w:r>
      <w:r w:rsidRPr="008323CD">
        <w:rPr>
          <w:rFonts w:ascii="黑体" w:eastAsia="黑体" w:cs="黑体"/>
          <w:color w:val="000000"/>
          <w:kern w:val="0"/>
          <w:sz w:val="18"/>
          <w:lang w:val="zh-CN"/>
        </w:rPr>
        <w:t>]</w:t>
      </w:r>
      <w:r w:rsidRPr="008323CD">
        <w:rPr>
          <w:rFonts w:ascii="楷体_GB2312" w:eastAsia="楷体_GB2312" w:cs="楷体_GB2312"/>
          <w:color w:val="000000"/>
          <w:kern w:val="0"/>
          <w:sz w:val="18"/>
          <w:szCs w:val="18"/>
          <w:lang w:val="zh-CN"/>
        </w:rPr>
        <w:t>1008-6455</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2022</w:t>
      </w:r>
      <w:r w:rsidRPr="008323CD">
        <w:rPr>
          <w:rFonts w:ascii="楷体_GB2312" w:eastAsia="楷体_GB2312" w:cs="楷体_GB2312" w:hint="eastAsia"/>
          <w:color w:val="000000"/>
          <w:kern w:val="0"/>
          <w:sz w:val="18"/>
          <w:szCs w:val="18"/>
          <w:lang w:val="zh-CN"/>
        </w:rPr>
        <w:t>）</w:t>
      </w:r>
      <w:r w:rsidRPr="008323CD">
        <w:rPr>
          <w:rFonts w:ascii="楷体_GB2312" w:eastAsia="楷体_GB2312" w:cs="楷体_GB2312"/>
          <w:color w:val="000000"/>
          <w:kern w:val="0"/>
          <w:sz w:val="18"/>
          <w:szCs w:val="18"/>
          <w:lang w:val="zh-CN"/>
        </w:rPr>
        <w:t>01-0102-05</w:t>
      </w:r>
    </w:p>
    <w:p w:rsidR="008323CD" w:rsidRPr="008323CD" w:rsidRDefault="008323CD" w:rsidP="008323CD">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8323CD" w:rsidRPr="008323CD" w:rsidRDefault="008323CD" w:rsidP="008323CD">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8323CD">
        <w:rPr>
          <w:rFonts w:ascii="ITC Avant Garde Gothic Demi" w:eastAsia="方正小标宋_GBK" w:hAnsi="ITC Avant Garde Gothic Demi" w:cs="ITC Avant Garde Gothic Demi"/>
          <w:color w:val="920883"/>
          <w:kern w:val="0"/>
          <w:sz w:val="24"/>
          <w:szCs w:val="24"/>
        </w:rPr>
        <w:t>Effects of Narrow-band UVB and Huoxue Jiedu Recipe on Hemorheology and Serum Th1/Th2 Cytokine and IL-17 Expression in Patients with Blood Stasis Psoriasis</w:t>
      </w:r>
    </w:p>
    <w:p w:rsidR="008323CD" w:rsidRPr="008323CD" w:rsidRDefault="008323CD" w:rsidP="008323CD">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8323CD">
        <w:rPr>
          <w:rFonts w:ascii="方正兰亭中黑_GBK" w:eastAsia="方正兰亭中黑_GBK" w:cs="方正兰亭中黑_GBK"/>
          <w:color w:val="000000"/>
          <w:kern w:val="0"/>
          <w:sz w:val="18"/>
          <w:szCs w:val="18"/>
        </w:rPr>
        <w:t>LIU Xiuling</w:t>
      </w:r>
      <w:r w:rsidRPr="008323CD">
        <w:rPr>
          <w:rFonts w:ascii="方正兰亭中黑_GBK" w:eastAsia="方正兰亭中黑_GBK" w:cs="方正兰亭中黑_GBK"/>
          <w:color w:val="000000"/>
          <w:kern w:val="0"/>
          <w:sz w:val="18"/>
          <w:szCs w:val="18"/>
          <w:vertAlign w:val="superscript"/>
        </w:rPr>
        <w:t>1</w:t>
      </w:r>
      <w:r w:rsidRPr="008323CD">
        <w:rPr>
          <w:rFonts w:ascii="方正兰亭中黑_GBK" w:eastAsia="方正兰亭中黑_GBK" w:cs="方正兰亭中黑_GBK"/>
          <w:color w:val="000000"/>
          <w:kern w:val="0"/>
          <w:sz w:val="18"/>
          <w:szCs w:val="18"/>
        </w:rPr>
        <w:t>,FU Xuemei</w:t>
      </w:r>
      <w:r w:rsidRPr="008323CD">
        <w:rPr>
          <w:rFonts w:ascii="方正兰亭中黑_GBK" w:eastAsia="方正兰亭中黑_GBK" w:cs="方正兰亭中黑_GBK"/>
          <w:color w:val="000000"/>
          <w:kern w:val="0"/>
          <w:sz w:val="18"/>
          <w:szCs w:val="18"/>
          <w:vertAlign w:val="superscript"/>
        </w:rPr>
        <w:t>2</w:t>
      </w:r>
      <w:r w:rsidRPr="008323CD">
        <w:rPr>
          <w:rFonts w:ascii="方正兰亭中黑_GBK" w:eastAsia="方正兰亭中黑_GBK" w:cs="方正兰亭中黑_GBK"/>
          <w:color w:val="000000"/>
          <w:kern w:val="0"/>
          <w:sz w:val="18"/>
          <w:szCs w:val="18"/>
        </w:rPr>
        <w:t>,ZHENG Chengbin</w:t>
      </w:r>
      <w:r w:rsidRPr="008323CD">
        <w:rPr>
          <w:rFonts w:ascii="方正兰亭中黑_GBK" w:eastAsia="方正兰亭中黑_GBK" w:cs="方正兰亭中黑_GBK"/>
          <w:color w:val="000000"/>
          <w:kern w:val="0"/>
          <w:sz w:val="18"/>
          <w:szCs w:val="18"/>
          <w:vertAlign w:val="superscript"/>
        </w:rPr>
        <w:t>1</w:t>
      </w:r>
    </w:p>
    <w:p w:rsidR="008323CD" w:rsidRPr="008323CD" w:rsidRDefault="008323CD" w:rsidP="008323CD">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8323CD">
        <w:rPr>
          <w:rFonts w:ascii="Times New Roman" w:eastAsia="方正小标宋_GBK" w:hAnsi="Times New Roman" w:cs="Times New Roman"/>
          <w:color w:val="000000"/>
          <w:kern w:val="0"/>
          <w:sz w:val="19"/>
          <w:szCs w:val="19"/>
        </w:rPr>
        <w:t>(1.Department of Dermatology,Rizhao Institute of Dermatology,Rizhao 276800,Shandong,China; 2.Department of Dermatology,Zaozhuang Hospital of Dermatology and Venereal Diseases,Zaozhuang 277500,Shandong,China)</w:t>
      </w:r>
    </w:p>
    <w:p w:rsidR="008323CD" w:rsidRPr="008323CD" w:rsidRDefault="008323CD" w:rsidP="008323C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8323CD" w:rsidRPr="008323CD" w:rsidRDefault="008323CD" w:rsidP="008323C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323CD">
        <w:rPr>
          <w:rFonts w:ascii="Didot HTF-B06-" w:eastAsia="方正小标宋_GBK" w:hAnsi="Didot HTF-B06-" w:cs="Didot HTF-B06-"/>
          <w:b/>
          <w:bCs/>
          <w:color w:val="000000"/>
          <w:kern w:val="0"/>
          <w:sz w:val="19"/>
        </w:rPr>
        <w:t xml:space="preserve">Abstract: Objective </w:t>
      </w:r>
      <w:r w:rsidRPr="008323CD">
        <w:rPr>
          <w:rFonts w:ascii="Times New Roman" w:eastAsia="方正小标宋_GBK" w:hAnsi="Times New Roman" w:cs="Times New Roman"/>
          <w:color w:val="000000"/>
          <w:kern w:val="0"/>
          <w:sz w:val="19"/>
          <w:szCs w:val="19"/>
        </w:rPr>
        <w:t xml:space="preserve"> To investigate the effect of narrow-band UVB combined with Huoxue Jiedu Recipe on hemorheology and serum Th1/Th2 cytokine and interleukin-17 (IL-17) expression in patients with blood stasis psoriasis. </w:t>
      </w:r>
      <w:r w:rsidRPr="008323CD">
        <w:rPr>
          <w:rFonts w:ascii="Didot HTF-B06-" w:eastAsia="方正小标宋_GBK" w:hAnsi="Didot HTF-B06-" w:cs="Didot HTF-B06-"/>
          <w:b/>
          <w:bCs/>
          <w:color w:val="000000"/>
          <w:kern w:val="0"/>
          <w:sz w:val="19"/>
        </w:rPr>
        <w:t>Methods</w:t>
      </w:r>
      <w:r w:rsidRPr="008323CD">
        <w:rPr>
          <w:rFonts w:ascii="Times New Roman" w:eastAsia="方正小标宋_GBK" w:hAnsi="Times New Roman" w:cs="Times New Roman"/>
          <w:color w:val="000000"/>
          <w:kern w:val="0"/>
          <w:sz w:val="19"/>
          <w:szCs w:val="19"/>
        </w:rPr>
        <w:t xml:space="preserve">  A prospective randomized controlled study of 112 patients with blood stasis psoriasis in our hospital from August 2017 to October 2019 was selected. The patients were divided into a study group (n=56) and a control group (n=56) by a computer-generated random number table. The control group was given narrow-band UVB, and the study group was given narrow-band UVB in combination with Huoxue Jiedu Recipe, all treated for 2 months. Comparing the efficacy, adverse reactions and psoriasis area and severity index (PASI), dermatological quality of life index (DLQI) scores, hemorheological indicators (low blood viscosity cut, high blood viscosity cut, hematocrit, erythrocyte sedimentation rate), serum immune function (CD4</w:t>
      </w:r>
      <w:r w:rsidRPr="008323CD">
        <w:rPr>
          <w:rFonts w:ascii="Times New Roman" w:eastAsia="方正小标宋_GBK" w:hAnsi="Times New Roman" w:cs="Times New Roman"/>
          <w:color w:val="000000"/>
          <w:kern w:val="0"/>
          <w:sz w:val="19"/>
          <w:szCs w:val="19"/>
          <w:vertAlign w:val="superscript"/>
        </w:rPr>
        <w:t>+</w:t>
      </w:r>
      <w:r w:rsidRPr="008323CD">
        <w:rPr>
          <w:rFonts w:ascii="Times New Roman" w:eastAsia="方正小标宋_GBK" w:hAnsi="Times New Roman" w:cs="Times New Roman"/>
          <w:color w:val="000000"/>
          <w:kern w:val="0"/>
          <w:sz w:val="19"/>
          <w:szCs w:val="19"/>
        </w:rPr>
        <w:t>, CD8</w:t>
      </w:r>
      <w:r w:rsidRPr="008323CD">
        <w:rPr>
          <w:rFonts w:ascii="Times New Roman" w:eastAsia="方正小标宋_GBK" w:hAnsi="Times New Roman" w:cs="Times New Roman"/>
          <w:color w:val="000000"/>
          <w:kern w:val="0"/>
          <w:sz w:val="19"/>
          <w:szCs w:val="19"/>
          <w:vertAlign w:val="superscript"/>
        </w:rPr>
        <w:t>+</w:t>
      </w:r>
      <w:r w:rsidRPr="008323CD">
        <w:rPr>
          <w:rFonts w:ascii="Times New Roman" w:eastAsia="方正小标宋_GBK" w:hAnsi="Times New Roman" w:cs="Times New Roman"/>
          <w:color w:val="000000"/>
          <w:kern w:val="0"/>
          <w:sz w:val="19"/>
          <w:szCs w:val="19"/>
        </w:rPr>
        <w:t>, CD4</w:t>
      </w:r>
      <w:r w:rsidRPr="008323CD">
        <w:rPr>
          <w:rFonts w:ascii="Times New Roman" w:eastAsia="方正小标宋_GBK" w:hAnsi="Times New Roman" w:cs="Times New Roman"/>
          <w:color w:val="000000"/>
          <w:kern w:val="0"/>
          <w:sz w:val="19"/>
          <w:szCs w:val="19"/>
          <w:vertAlign w:val="superscript"/>
        </w:rPr>
        <w:t>+</w:t>
      </w:r>
      <w:r w:rsidRPr="008323CD">
        <w:rPr>
          <w:rFonts w:ascii="Times New Roman" w:eastAsia="方正小标宋_GBK" w:hAnsi="Times New Roman" w:cs="Times New Roman"/>
          <w:color w:val="000000"/>
          <w:kern w:val="0"/>
          <w:sz w:val="19"/>
          <w:szCs w:val="19"/>
        </w:rPr>
        <w:t>/CD8</w:t>
      </w:r>
      <w:r w:rsidRPr="008323CD">
        <w:rPr>
          <w:rFonts w:ascii="Times New Roman" w:eastAsia="方正小标宋_GBK" w:hAnsi="Times New Roman" w:cs="Times New Roman"/>
          <w:color w:val="000000"/>
          <w:kern w:val="0"/>
          <w:sz w:val="19"/>
          <w:szCs w:val="19"/>
          <w:vertAlign w:val="superscript"/>
        </w:rPr>
        <w:t>+</w:t>
      </w:r>
      <w:r w:rsidRPr="008323CD">
        <w:rPr>
          <w:rFonts w:ascii="Times New Roman" w:eastAsia="方正小标宋_GBK" w:hAnsi="Times New Roman" w:cs="Times New Roman"/>
          <w:color w:val="000000"/>
          <w:kern w:val="0"/>
          <w:sz w:val="19"/>
          <w:szCs w:val="19"/>
        </w:rPr>
        <w:t>), Th1/Th2 cytokines [interleukin-10 (IL-10), interleukin-4 (IL-4), interferon-</w:t>
      </w:r>
      <w:r w:rsidRPr="008323CD">
        <w:rPr>
          <w:rFonts w:ascii="Times New Roman" w:eastAsia="方正小标宋_GBK" w:hAnsi="Times New Roman" w:cs="Times New Roman"/>
          <w:color w:val="000000"/>
          <w:kern w:val="0"/>
          <w:sz w:val="19"/>
          <w:szCs w:val="19"/>
          <w:lang w:val="zh-CN"/>
        </w:rPr>
        <w:t>γ</w:t>
      </w:r>
      <w:r w:rsidRPr="008323CD">
        <w:rPr>
          <w:rFonts w:ascii="Times New Roman" w:eastAsia="方正小标宋_GBK" w:hAnsi="Times New Roman" w:cs="Times New Roman"/>
          <w:color w:val="000000"/>
          <w:kern w:val="0"/>
          <w:sz w:val="19"/>
          <w:szCs w:val="19"/>
        </w:rPr>
        <w:t xml:space="preserve"> (IFN-</w:t>
      </w:r>
      <w:r w:rsidRPr="008323CD">
        <w:rPr>
          <w:rFonts w:ascii="Times New Roman" w:eastAsia="方正小标宋_GBK" w:hAnsi="Times New Roman" w:cs="Times New Roman"/>
          <w:color w:val="000000"/>
          <w:kern w:val="0"/>
          <w:sz w:val="19"/>
          <w:szCs w:val="19"/>
          <w:lang w:val="zh-CN"/>
        </w:rPr>
        <w:t>γ</w:t>
      </w:r>
      <w:r w:rsidRPr="008323CD">
        <w:rPr>
          <w:rFonts w:ascii="Times New Roman" w:eastAsia="方正小标宋_GBK" w:hAnsi="Times New Roman" w:cs="Times New Roman"/>
          <w:color w:val="000000"/>
          <w:kern w:val="0"/>
          <w:sz w:val="19"/>
          <w:szCs w:val="19"/>
        </w:rPr>
        <w:t xml:space="preserve">), interleukin-2 (IL-2)], IL-17 levels of the two groups before and after treatment. </w:t>
      </w:r>
      <w:r w:rsidRPr="008323CD">
        <w:rPr>
          <w:rFonts w:ascii="Didot HTF-B06-" w:eastAsia="方正小标宋_GBK" w:hAnsi="Didot HTF-B06-" w:cs="Didot HTF-B06-"/>
          <w:b/>
          <w:bCs/>
          <w:color w:val="000000"/>
          <w:kern w:val="0"/>
          <w:sz w:val="19"/>
        </w:rPr>
        <w:t xml:space="preserve">Results </w:t>
      </w:r>
      <w:r w:rsidRPr="008323CD">
        <w:rPr>
          <w:rFonts w:ascii="Times New Roman" w:eastAsia="方正小标宋_GBK" w:hAnsi="Times New Roman" w:cs="Times New Roman"/>
          <w:color w:val="000000"/>
          <w:kern w:val="0"/>
          <w:sz w:val="19"/>
          <w:szCs w:val="19"/>
        </w:rPr>
        <w:t xml:space="preserve"> The total effective rate of the study group was 91.07% , higher than that of the control group 76.79%(P</w:t>
      </w:r>
      <w:r w:rsidRPr="008323CD">
        <w:rPr>
          <w:rFonts w:ascii="宋体" w:eastAsia="宋体" w:hAnsi="Times New Roman" w:cs="宋体" w:hint="eastAsia"/>
          <w:color w:val="000000"/>
          <w:kern w:val="0"/>
          <w:sz w:val="19"/>
          <w:szCs w:val="19"/>
        </w:rPr>
        <w:t>＜</w:t>
      </w:r>
      <w:r w:rsidRPr="008323CD">
        <w:rPr>
          <w:rFonts w:ascii="Times New Roman" w:eastAsia="方正小标宋_GBK" w:hAnsi="Times New Roman" w:cs="Times New Roman"/>
          <w:color w:val="000000"/>
          <w:kern w:val="0"/>
          <w:sz w:val="19"/>
          <w:szCs w:val="19"/>
        </w:rPr>
        <w:t>0.05), there was no significant difference in the incidence of adverse reactions between the 2 groups (P</w:t>
      </w:r>
      <w:r w:rsidRPr="008323CD">
        <w:rPr>
          <w:rFonts w:ascii="宋体" w:eastAsia="宋体" w:hAnsi="Times New Roman" w:cs="宋体" w:hint="eastAsia"/>
          <w:color w:val="000000"/>
          <w:kern w:val="0"/>
          <w:sz w:val="19"/>
          <w:szCs w:val="19"/>
        </w:rPr>
        <w:t>＞</w:t>
      </w:r>
      <w:r w:rsidRPr="008323CD">
        <w:rPr>
          <w:rFonts w:ascii="Times New Roman" w:eastAsia="方正小标宋_GBK" w:hAnsi="Times New Roman" w:cs="Times New Roman"/>
          <w:color w:val="000000"/>
          <w:kern w:val="0"/>
          <w:sz w:val="19"/>
          <w:szCs w:val="19"/>
        </w:rPr>
        <w:t>0.05).After treatment, the PASI and DLQI scores of the two groups were lower than before treatment, and the study group was lower than the control group (P</w:t>
      </w:r>
      <w:r w:rsidRPr="008323CD">
        <w:rPr>
          <w:rFonts w:ascii="宋体" w:eastAsia="宋体" w:hAnsi="Times New Roman" w:cs="宋体" w:hint="eastAsia"/>
          <w:color w:val="000000"/>
          <w:kern w:val="0"/>
          <w:sz w:val="19"/>
          <w:szCs w:val="19"/>
        </w:rPr>
        <w:t>＜</w:t>
      </w:r>
      <w:r w:rsidRPr="008323CD">
        <w:rPr>
          <w:rFonts w:ascii="Times New Roman" w:eastAsia="方正小标宋_GBK" w:hAnsi="Times New Roman" w:cs="Times New Roman"/>
          <w:color w:val="000000"/>
          <w:kern w:val="0"/>
          <w:sz w:val="19"/>
          <w:szCs w:val="19"/>
        </w:rPr>
        <w:t>0.05). After treatment, the low blood viscosity cut, high blood viscosity cut, he</w:t>
      </w:r>
      <w:r w:rsidRPr="008323CD">
        <w:rPr>
          <w:rFonts w:ascii="Times New Roman" w:eastAsia="方正小标宋_GBK" w:hAnsi="Times New Roman" w:cs="Times New Roman"/>
          <w:color w:val="000000"/>
          <w:spacing w:val="4"/>
          <w:kern w:val="0"/>
          <w:sz w:val="19"/>
          <w:szCs w:val="19"/>
        </w:rPr>
        <w:t xml:space="preserve">matocrit, </w:t>
      </w:r>
      <w:r w:rsidRPr="008323CD">
        <w:rPr>
          <w:rFonts w:ascii="Times New Roman" w:eastAsia="方正小标宋_GBK" w:hAnsi="Times New Roman" w:cs="Times New Roman"/>
          <w:color w:val="000000"/>
          <w:spacing w:val="11"/>
          <w:kern w:val="0"/>
          <w:sz w:val="19"/>
          <w:szCs w:val="19"/>
        </w:rPr>
        <w:t>and erythrocyte sedimentation rate of the two groups all decreased, and the reduction of the study group was higher (P</w:t>
      </w:r>
      <w:r w:rsidRPr="008323CD">
        <w:rPr>
          <w:rFonts w:ascii="宋体" w:eastAsia="宋体" w:hAnsi="Times New Roman" w:cs="宋体" w:hint="eastAsia"/>
          <w:color w:val="000000"/>
          <w:spacing w:val="11"/>
          <w:kern w:val="0"/>
          <w:sz w:val="19"/>
          <w:szCs w:val="19"/>
        </w:rPr>
        <w:t>＜</w:t>
      </w:r>
      <w:r w:rsidRPr="008323CD">
        <w:rPr>
          <w:rFonts w:ascii="Times New Roman" w:eastAsia="方正小标宋_GBK" w:hAnsi="Times New Roman" w:cs="Times New Roman"/>
          <w:color w:val="000000"/>
          <w:spacing w:val="11"/>
          <w:kern w:val="0"/>
          <w:sz w:val="19"/>
          <w:szCs w:val="19"/>
        </w:rPr>
        <w:t xml:space="preserve">0.05). </w:t>
      </w:r>
      <w:r w:rsidRPr="008323CD">
        <w:rPr>
          <w:rFonts w:ascii="Times New Roman" w:eastAsia="方正小标宋_GBK" w:hAnsi="Times New Roman" w:cs="Times New Roman"/>
          <w:color w:val="000000"/>
          <w:spacing w:val="4"/>
          <w:kern w:val="0"/>
          <w:sz w:val="19"/>
          <w:szCs w:val="19"/>
        </w:rPr>
        <w:t>After treatment, the levels of serum CD4</w:t>
      </w:r>
      <w:r w:rsidRPr="008323CD">
        <w:rPr>
          <w:rFonts w:ascii="Times New Roman" w:eastAsia="方正小标宋_GBK" w:hAnsi="Times New Roman" w:cs="Times New Roman"/>
          <w:color w:val="000000"/>
          <w:spacing w:val="4"/>
          <w:kern w:val="0"/>
          <w:sz w:val="19"/>
          <w:szCs w:val="19"/>
          <w:vertAlign w:val="superscript"/>
        </w:rPr>
        <w:t>+</w:t>
      </w:r>
      <w:r w:rsidRPr="008323CD">
        <w:rPr>
          <w:rFonts w:ascii="Times New Roman" w:eastAsia="方正小标宋_GBK" w:hAnsi="Times New Roman" w:cs="Times New Roman"/>
          <w:color w:val="000000"/>
          <w:spacing w:val="4"/>
          <w:kern w:val="0"/>
          <w:sz w:val="19"/>
          <w:szCs w:val="19"/>
        </w:rPr>
        <w:t>, CD8</w:t>
      </w:r>
      <w:r w:rsidRPr="008323CD">
        <w:rPr>
          <w:rFonts w:ascii="Times New Roman" w:eastAsia="方正小标宋_GBK" w:hAnsi="Times New Roman" w:cs="Times New Roman"/>
          <w:color w:val="000000"/>
          <w:spacing w:val="4"/>
          <w:kern w:val="0"/>
          <w:sz w:val="19"/>
          <w:szCs w:val="19"/>
          <w:vertAlign w:val="superscript"/>
        </w:rPr>
        <w:t>+</w:t>
      </w:r>
      <w:r w:rsidRPr="008323CD">
        <w:rPr>
          <w:rFonts w:ascii="Times New Roman" w:eastAsia="方正小标宋_GBK" w:hAnsi="Times New Roman" w:cs="Times New Roman"/>
          <w:color w:val="000000"/>
          <w:spacing w:val="4"/>
          <w:kern w:val="0"/>
          <w:sz w:val="19"/>
          <w:szCs w:val="19"/>
        </w:rPr>
        <w:t>, CD4</w:t>
      </w:r>
      <w:r w:rsidRPr="008323CD">
        <w:rPr>
          <w:rFonts w:ascii="Times New Roman" w:eastAsia="方正小标宋_GBK" w:hAnsi="Times New Roman" w:cs="Times New Roman"/>
          <w:color w:val="000000"/>
          <w:spacing w:val="4"/>
          <w:kern w:val="0"/>
          <w:sz w:val="19"/>
          <w:szCs w:val="19"/>
          <w:vertAlign w:val="superscript"/>
        </w:rPr>
        <w:t>+</w:t>
      </w:r>
      <w:r w:rsidRPr="008323CD">
        <w:rPr>
          <w:rFonts w:ascii="Times New Roman" w:eastAsia="方正小标宋_GBK" w:hAnsi="Times New Roman" w:cs="Times New Roman"/>
          <w:color w:val="000000"/>
          <w:spacing w:val="4"/>
          <w:kern w:val="0"/>
          <w:sz w:val="19"/>
          <w:szCs w:val="19"/>
        </w:rPr>
        <w:t>/CD8</w:t>
      </w:r>
      <w:r w:rsidRPr="008323CD">
        <w:rPr>
          <w:rFonts w:ascii="Times New Roman" w:eastAsia="方正小标宋_GBK" w:hAnsi="Times New Roman" w:cs="Times New Roman"/>
          <w:color w:val="000000"/>
          <w:spacing w:val="4"/>
          <w:kern w:val="0"/>
          <w:sz w:val="19"/>
          <w:szCs w:val="19"/>
          <w:vertAlign w:val="superscript"/>
        </w:rPr>
        <w:t>+</w:t>
      </w:r>
      <w:r w:rsidRPr="008323CD">
        <w:rPr>
          <w:rFonts w:ascii="Times New Roman" w:eastAsia="方正小标宋_GBK" w:hAnsi="Times New Roman" w:cs="Times New Roman"/>
          <w:color w:val="000000"/>
          <w:spacing w:val="4"/>
          <w:kern w:val="0"/>
          <w:sz w:val="19"/>
          <w:szCs w:val="19"/>
        </w:rPr>
        <w:t>, serum IL-10, IL-4, IFN-</w:t>
      </w:r>
      <w:r w:rsidRPr="008323CD">
        <w:rPr>
          <w:rFonts w:ascii="Times New Roman" w:eastAsia="方正小标宋_GBK" w:hAnsi="Times New Roman" w:cs="Times New Roman"/>
          <w:color w:val="000000"/>
          <w:spacing w:val="4"/>
          <w:kern w:val="0"/>
          <w:sz w:val="19"/>
          <w:szCs w:val="19"/>
          <w:lang w:val="zh-CN"/>
        </w:rPr>
        <w:t>γ</w:t>
      </w:r>
      <w:r w:rsidRPr="008323CD">
        <w:rPr>
          <w:rFonts w:ascii="Times New Roman" w:eastAsia="方正小标宋_GBK" w:hAnsi="Times New Roman" w:cs="Times New Roman"/>
          <w:color w:val="000000"/>
          <w:spacing w:val="4"/>
          <w:kern w:val="0"/>
          <w:sz w:val="19"/>
          <w:szCs w:val="19"/>
        </w:rPr>
        <w:t>, IL-2, and IL-17 levels in the two gro</w:t>
      </w:r>
      <w:r w:rsidRPr="008323CD">
        <w:rPr>
          <w:rFonts w:ascii="Times New Roman" w:eastAsia="方正小标宋_GBK" w:hAnsi="Times New Roman" w:cs="Times New Roman"/>
          <w:color w:val="000000"/>
          <w:kern w:val="0"/>
          <w:sz w:val="19"/>
          <w:szCs w:val="19"/>
        </w:rPr>
        <w:t>ups were significantly improved, and the study group was better than the control group (P</w:t>
      </w:r>
      <w:r w:rsidRPr="008323CD">
        <w:rPr>
          <w:rFonts w:ascii="宋体" w:eastAsia="宋体" w:hAnsi="Times New Roman" w:cs="宋体" w:hint="eastAsia"/>
          <w:color w:val="000000"/>
          <w:kern w:val="0"/>
          <w:sz w:val="19"/>
          <w:szCs w:val="19"/>
        </w:rPr>
        <w:t>＜</w:t>
      </w:r>
      <w:r w:rsidRPr="008323CD">
        <w:rPr>
          <w:rFonts w:ascii="Times New Roman" w:eastAsia="方正小标宋_GBK" w:hAnsi="Times New Roman" w:cs="Times New Roman"/>
          <w:color w:val="000000"/>
          <w:kern w:val="0"/>
          <w:sz w:val="19"/>
          <w:szCs w:val="19"/>
        </w:rPr>
        <w:t xml:space="preserve">0.05). </w:t>
      </w:r>
      <w:r w:rsidRPr="008323CD">
        <w:rPr>
          <w:rFonts w:ascii="Didot HTF-B06-" w:eastAsia="方正小标宋_GBK" w:hAnsi="Didot HTF-B06-" w:cs="Didot HTF-B06-"/>
          <w:b/>
          <w:bCs/>
          <w:color w:val="000000"/>
          <w:kern w:val="0"/>
          <w:sz w:val="19"/>
        </w:rPr>
        <w:t>Conclusion</w:t>
      </w:r>
      <w:r w:rsidRPr="008323CD">
        <w:rPr>
          <w:rFonts w:ascii="Times New Roman" w:eastAsia="方正小标宋_GBK" w:hAnsi="Times New Roman" w:cs="Times New Roman"/>
          <w:color w:val="000000"/>
          <w:kern w:val="0"/>
          <w:sz w:val="19"/>
          <w:szCs w:val="19"/>
        </w:rPr>
        <w:t xml:space="preserve">  Narrow-band UVB combined with Huoxue Jiedu Recipe is effective in the treatment of patients with blood stasis p</w:t>
      </w:r>
      <w:r w:rsidRPr="008323CD">
        <w:rPr>
          <w:rFonts w:ascii="Times New Roman" w:eastAsia="方正小标宋_GBK" w:hAnsi="Times New Roman" w:cs="Times New Roman"/>
          <w:color w:val="000000"/>
          <w:spacing w:val="-4"/>
          <w:kern w:val="0"/>
          <w:sz w:val="19"/>
          <w:szCs w:val="19"/>
        </w:rPr>
        <w:t>soriasis and has good safety, which can effectively improve the body's hemorheology and immune status, regulate the expressio</w:t>
      </w:r>
      <w:r w:rsidRPr="008323CD">
        <w:rPr>
          <w:rFonts w:ascii="Times New Roman" w:eastAsia="方正小标宋_GBK" w:hAnsi="Times New Roman" w:cs="Times New Roman"/>
          <w:color w:val="000000"/>
          <w:kern w:val="0"/>
          <w:sz w:val="19"/>
          <w:szCs w:val="19"/>
        </w:rPr>
        <w:t>n of Th1/Th2, and IL-17, thereby promoting the improvement of patients' skin lesion symptoms and improving the quality of life.</w:t>
      </w:r>
    </w:p>
    <w:p w:rsidR="008323CD" w:rsidRPr="008323CD" w:rsidRDefault="008323CD" w:rsidP="008323C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323CD">
        <w:rPr>
          <w:rFonts w:ascii="Didot HTF-B06-" w:eastAsia="方正小标宋_GBK" w:hAnsi="Didot HTF-B06-" w:cs="Didot HTF-B06-"/>
          <w:b/>
          <w:bCs/>
          <w:color w:val="000000"/>
          <w:kern w:val="0"/>
          <w:sz w:val="19"/>
        </w:rPr>
        <w:lastRenderedPageBreak/>
        <w:t xml:space="preserve">Key words: </w:t>
      </w:r>
      <w:r w:rsidRPr="008323CD">
        <w:rPr>
          <w:rFonts w:ascii="Times New Roman" w:eastAsia="方正小标宋_GBK" w:hAnsi="Times New Roman" w:cs="Times New Roman"/>
          <w:color w:val="000000"/>
          <w:kern w:val="0"/>
          <w:sz w:val="19"/>
          <w:szCs w:val="19"/>
        </w:rPr>
        <w:t xml:space="preserve">blood stasis type psoriasis; narrow-band UVB; huoxue jiedu recipe; hemorheology; immune function </w:t>
      </w:r>
    </w:p>
    <w:p w:rsidR="00392B23" w:rsidRPr="008323CD" w:rsidRDefault="00392B23" w:rsidP="008323CD"/>
    <w:sectPr w:rsidR="00392B23" w:rsidRPr="008323CD" w:rsidSect="00AA1F1D">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34D" w:rsidRDefault="0026534D" w:rsidP="00E172F8">
      <w:r>
        <w:separator/>
      </w:r>
    </w:p>
  </w:endnote>
  <w:endnote w:type="continuationSeparator" w:id="0">
    <w:p w:rsidR="0026534D" w:rsidRDefault="0026534D"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34D" w:rsidRDefault="0026534D" w:rsidP="00E172F8">
      <w:r>
        <w:separator/>
      </w:r>
    </w:p>
  </w:footnote>
  <w:footnote w:type="continuationSeparator" w:id="0">
    <w:p w:rsidR="0026534D" w:rsidRDefault="0026534D"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A09ED"/>
    <w:rsid w:val="000B0FC9"/>
    <w:rsid w:val="000D1F46"/>
    <w:rsid w:val="000E7F96"/>
    <w:rsid w:val="0014482C"/>
    <w:rsid w:val="00181C4C"/>
    <w:rsid w:val="001C4414"/>
    <w:rsid w:val="001D07C9"/>
    <w:rsid w:val="001D5A57"/>
    <w:rsid w:val="00240761"/>
    <w:rsid w:val="0026534D"/>
    <w:rsid w:val="00267531"/>
    <w:rsid w:val="00276603"/>
    <w:rsid w:val="00277B52"/>
    <w:rsid w:val="00284A2C"/>
    <w:rsid w:val="0029663D"/>
    <w:rsid w:val="002C3C2E"/>
    <w:rsid w:val="00386229"/>
    <w:rsid w:val="00392B23"/>
    <w:rsid w:val="003A6FBB"/>
    <w:rsid w:val="003C1421"/>
    <w:rsid w:val="003C3A27"/>
    <w:rsid w:val="003C612F"/>
    <w:rsid w:val="004028F3"/>
    <w:rsid w:val="0041270F"/>
    <w:rsid w:val="00455160"/>
    <w:rsid w:val="00497DE0"/>
    <w:rsid w:val="004A6544"/>
    <w:rsid w:val="004A7BC1"/>
    <w:rsid w:val="005147FF"/>
    <w:rsid w:val="00555859"/>
    <w:rsid w:val="005C657E"/>
    <w:rsid w:val="005E4934"/>
    <w:rsid w:val="005F513F"/>
    <w:rsid w:val="006236E2"/>
    <w:rsid w:val="00661A0F"/>
    <w:rsid w:val="00687870"/>
    <w:rsid w:val="006D3B77"/>
    <w:rsid w:val="006D446A"/>
    <w:rsid w:val="007B6A4D"/>
    <w:rsid w:val="007C2FD9"/>
    <w:rsid w:val="007E4364"/>
    <w:rsid w:val="008323CD"/>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64F57"/>
    <w:rsid w:val="00C851CA"/>
    <w:rsid w:val="00CA391F"/>
    <w:rsid w:val="00CA3EA1"/>
    <w:rsid w:val="00CD0A61"/>
    <w:rsid w:val="00D25704"/>
    <w:rsid w:val="00D52EFA"/>
    <w:rsid w:val="00D777F9"/>
    <w:rsid w:val="00DC05D5"/>
    <w:rsid w:val="00DD5A8C"/>
    <w:rsid w:val="00DF0FF2"/>
    <w:rsid w:val="00E06821"/>
    <w:rsid w:val="00E172F8"/>
    <w:rsid w:val="00E87F3B"/>
    <w:rsid w:val="00EB474A"/>
    <w:rsid w:val="00EF4574"/>
    <w:rsid w:val="00F122B2"/>
    <w:rsid w:val="00F4563C"/>
    <w:rsid w:val="00F5463E"/>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Pages>
  <Words>584</Words>
  <Characters>3329</Characters>
  <Application>Microsoft Office Word</Application>
  <DocSecurity>0</DocSecurity>
  <Lines>27</Lines>
  <Paragraphs>7</Paragraphs>
  <ScaleCrop>false</ScaleCrop>
  <Company>Microsoft</Company>
  <LinksUpToDate>false</LinksUpToDate>
  <CharactersWithSpaces>3906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70</cp:revision>
  <dcterms:created xsi:type="dcterms:W3CDTF">2022-01-17T03:25:00Z</dcterms:created>
  <dcterms:modified xsi:type="dcterms:W3CDTF">2022-02-10T09:25:00Z</dcterms:modified>
</cp:coreProperties>
</file>