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712" w:rsidRPr="00662712" w:rsidRDefault="00662712" w:rsidP="00662712">
      <w:pPr>
        <w:autoSpaceDE w:val="0"/>
        <w:autoSpaceDN w:val="0"/>
        <w:adjustRightInd w:val="0"/>
        <w:spacing w:line="400" w:lineRule="atLeast"/>
        <w:jc w:val="center"/>
        <w:textAlignment w:val="center"/>
        <w:rPr>
          <w:rFonts w:ascii="方正小标宋_GBK" w:eastAsia="方正小标宋_GBK" w:cs="方正小标宋_GBK"/>
          <w:color w:val="920883"/>
          <w:kern w:val="0"/>
          <w:sz w:val="30"/>
          <w:szCs w:val="30"/>
          <w:lang w:val="zh-CN"/>
        </w:rPr>
      </w:pPr>
      <w:r w:rsidRPr="00662712">
        <w:rPr>
          <w:rFonts w:ascii="方正小标宋_GBK" w:eastAsia="方正小标宋_GBK" w:cs="方正小标宋_GBK" w:hint="eastAsia"/>
          <w:color w:val="920883"/>
          <w:kern w:val="0"/>
          <w:sz w:val="30"/>
          <w:szCs w:val="30"/>
          <w:lang w:val="zh-CN"/>
        </w:rPr>
        <w:t>无托槽隐形矫治的疗效观察及患者接受度的相关影响因素分析</w:t>
      </w:r>
    </w:p>
    <w:p w:rsidR="00662712" w:rsidRPr="00662712" w:rsidRDefault="00662712" w:rsidP="00662712">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662712">
        <w:rPr>
          <w:rFonts w:ascii="方正楷体_GBK" w:eastAsia="方正楷体_GBK" w:cs="方正楷体_GBK" w:hint="eastAsia"/>
          <w:color w:val="000000"/>
          <w:kern w:val="0"/>
          <w:sz w:val="24"/>
          <w:szCs w:val="24"/>
          <w:lang w:val="zh-CN"/>
        </w:rPr>
        <w:t>刘</w:t>
      </w:r>
      <w:r w:rsidRPr="00662712">
        <w:rPr>
          <w:rFonts w:ascii="方正楷体_GBK" w:eastAsia="方正楷体_GBK" w:cs="方正楷体_GBK"/>
          <w:color w:val="000000"/>
          <w:kern w:val="0"/>
          <w:sz w:val="24"/>
          <w:szCs w:val="24"/>
          <w:lang w:val="zh-CN"/>
        </w:rPr>
        <w:t xml:space="preserve"> </w:t>
      </w:r>
      <w:r w:rsidRPr="00662712">
        <w:rPr>
          <w:rFonts w:ascii="方正楷体_GBK" w:eastAsia="方正楷体_GBK" w:cs="方正楷体_GBK" w:hint="eastAsia"/>
          <w:color w:val="000000"/>
          <w:kern w:val="0"/>
          <w:sz w:val="24"/>
          <w:szCs w:val="24"/>
          <w:lang w:val="zh-CN"/>
        </w:rPr>
        <w:t>序，赵蔚萍，何</w:t>
      </w:r>
      <w:r w:rsidRPr="00662712">
        <w:rPr>
          <w:rFonts w:ascii="方正楷体_GBK" w:eastAsia="方正楷体_GBK" w:cs="方正楷体_GBK"/>
          <w:color w:val="000000"/>
          <w:kern w:val="0"/>
          <w:sz w:val="24"/>
          <w:szCs w:val="24"/>
          <w:lang w:val="zh-CN"/>
        </w:rPr>
        <w:t xml:space="preserve"> </w:t>
      </w:r>
      <w:r w:rsidRPr="00662712">
        <w:rPr>
          <w:rFonts w:ascii="方正楷体_GBK" w:eastAsia="方正楷体_GBK" w:cs="方正楷体_GBK" w:hint="eastAsia"/>
          <w:color w:val="000000"/>
          <w:kern w:val="0"/>
          <w:sz w:val="24"/>
          <w:szCs w:val="24"/>
          <w:lang w:val="zh-CN"/>
        </w:rPr>
        <w:t>林</w:t>
      </w:r>
    </w:p>
    <w:p w:rsidR="00662712" w:rsidRPr="00662712" w:rsidRDefault="00662712" w:rsidP="00662712">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662712">
        <w:rPr>
          <w:rFonts w:ascii="方正楷体_GBK" w:eastAsia="方正楷体_GBK" w:cs="方正楷体_GBK" w:hint="eastAsia"/>
          <w:color w:val="000000"/>
          <w:kern w:val="0"/>
          <w:sz w:val="18"/>
          <w:szCs w:val="18"/>
          <w:lang w:val="zh-CN"/>
        </w:rPr>
        <w:t>（遂宁市中心医院口腔医学中心</w:t>
      </w:r>
      <w:r w:rsidRPr="00662712">
        <w:rPr>
          <w:rFonts w:ascii="方正楷体_GBK" w:eastAsia="方正楷体_GBK" w:cs="方正楷体_GBK"/>
          <w:color w:val="000000"/>
          <w:kern w:val="0"/>
          <w:sz w:val="18"/>
          <w:szCs w:val="18"/>
          <w:lang w:val="zh-CN"/>
        </w:rPr>
        <w:t xml:space="preserve">  </w:t>
      </w:r>
      <w:r w:rsidRPr="00662712">
        <w:rPr>
          <w:rFonts w:ascii="方正楷体_GBK" w:eastAsia="方正楷体_GBK" w:cs="方正楷体_GBK" w:hint="eastAsia"/>
          <w:color w:val="000000"/>
          <w:kern w:val="0"/>
          <w:sz w:val="18"/>
          <w:szCs w:val="18"/>
          <w:lang w:val="zh-CN"/>
        </w:rPr>
        <w:t>四川</w:t>
      </w:r>
      <w:r w:rsidRPr="00662712">
        <w:rPr>
          <w:rFonts w:ascii="方正楷体_GBK" w:eastAsia="方正楷体_GBK" w:cs="方正楷体_GBK"/>
          <w:color w:val="000000"/>
          <w:kern w:val="0"/>
          <w:sz w:val="18"/>
          <w:szCs w:val="18"/>
          <w:lang w:val="zh-CN"/>
        </w:rPr>
        <w:t xml:space="preserve"> </w:t>
      </w:r>
      <w:r w:rsidRPr="00662712">
        <w:rPr>
          <w:rFonts w:ascii="方正楷体_GBK" w:eastAsia="方正楷体_GBK" w:cs="方正楷体_GBK" w:hint="eastAsia"/>
          <w:color w:val="000000"/>
          <w:kern w:val="0"/>
          <w:sz w:val="18"/>
          <w:szCs w:val="18"/>
          <w:lang w:val="zh-CN"/>
        </w:rPr>
        <w:t>遂宁</w:t>
      </w:r>
      <w:r w:rsidRPr="00662712">
        <w:rPr>
          <w:rFonts w:ascii="方正楷体_GBK" w:eastAsia="方正楷体_GBK" w:cs="方正楷体_GBK"/>
          <w:color w:val="000000"/>
          <w:kern w:val="0"/>
          <w:sz w:val="18"/>
          <w:szCs w:val="18"/>
          <w:lang w:val="zh-CN"/>
        </w:rPr>
        <w:t xml:space="preserve">  629000</w:t>
      </w:r>
      <w:r w:rsidRPr="00662712">
        <w:rPr>
          <w:rFonts w:ascii="方正楷体_GBK" w:eastAsia="方正楷体_GBK" w:cs="方正楷体_GBK" w:hint="eastAsia"/>
          <w:color w:val="000000"/>
          <w:kern w:val="0"/>
          <w:sz w:val="18"/>
          <w:szCs w:val="18"/>
          <w:lang w:val="zh-CN"/>
        </w:rPr>
        <w:t>）</w:t>
      </w:r>
    </w:p>
    <w:p w:rsidR="00662712" w:rsidRPr="00662712" w:rsidRDefault="00662712" w:rsidP="0066271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rsidR="00662712" w:rsidRPr="00662712" w:rsidRDefault="00662712" w:rsidP="0066271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662712">
        <w:rPr>
          <w:rFonts w:ascii="黑体" w:eastAsia="黑体" w:cs="黑体"/>
          <w:color w:val="000000"/>
          <w:kern w:val="0"/>
          <w:sz w:val="18"/>
          <w:lang w:val="zh-CN"/>
        </w:rPr>
        <w:t>[</w:t>
      </w:r>
      <w:r w:rsidRPr="00662712">
        <w:rPr>
          <w:rFonts w:ascii="黑体" w:eastAsia="黑体" w:cs="黑体" w:hint="eastAsia"/>
          <w:color w:val="000000"/>
          <w:kern w:val="0"/>
          <w:sz w:val="18"/>
          <w:lang w:val="zh-CN"/>
        </w:rPr>
        <w:t>摘要</w:t>
      </w:r>
      <w:r w:rsidRPr="00662712">
        <w:rPr>
          <w:rFonts w:ascii="黑体" w:eastAsia="黑体" w:cs="黑体"/>
          <w:color w:val="000000"/>
          <w:kern w:val="0"/>
          <w:sz w:val="18"/>
          <w:lang w:val="zh-CN"/>
        </w:rPr>
        <w:t>]</w:t>
      </w:r>
      <w:r w:rsidRPr="00662712">
        <w:rPr>
          <w:rFonts w:ascii="黑体" w:eastAsia="黑体" w:cs="黑体" w:hint="eastAsia"/>
          <w:color w:val="000000"/>
          <w:kern w:val="0"/>
          <w:sz w:val="18"/>
          <w:lang w:val="zh-CN"/>
        </w:rPr>
        <w:t>目的：</w:t>
      </w:r>
      <w:r w:rsidRPr="00662712">
        <w:rPr>
          <w:rFonts w:ascii="楷体_GB2312" w:eastAsia="楷体_GB2312" w:cs="楷体_GB2312" w:hint="eastAsia"/>
          <w:color w:val="000000"/>
          <w:kern w:val="0"/>
          <w:sz w:val="18"/>
          <w:szCs w:val="18"/>
          <w:lang w:val="zh-CN"/>
        </w:rPr>
        <w:t>分析无托槽隐形矫治的临床效果及患者接受度的相关影响因素。</w:t>
      </w:r>
      <w:r w:rsidRPr="00662712">
        <w:rPr>
          <w:rFonts w:ascii="黑体" w:eastAsia="黑体" w:cs="黑体" w:hint="eastAsia"/>
          <w:color w:val="000000"/>
          <w:kern w:val="0"/>
          <w:sz w:val="18"/>
          <w:lang w:val="zh-CN"/>
        </w:rPr>
        <w:t>方法：</w:t>
      </w:r>
      <w:r w:rsidRPr="00662712">
        <w:rPr>
          <w:rFonts w:ascii="楷体_GB2312" w:eastAsia="楷体_GB2312" w:cs="楷体_GB2312" w:hint="eastAsia"/>
          <w:color w:val="000000"/>
          <w:kern w:val="0"/>
          <w:sz w:val="18"/>
          <w:szCs w:val="18"/>
          <w:lang w:val="zh-CN"/>
        </w:rPr>
        <w:t>回顾性选取</w:t>
      </w:r>
      <w:r w:rsidRPr="00662712">
        <w:rPr>
          <w:rFonts w:ascii="楷体_GB2312" w:eastAsia="楷体_GB2312" w:cs="楷体_GB2312"/>
          <w:color w:val="000000"/>
          <w:kern w:val="0"/>
          <w:sz w:val="18"/>
          <w:szCs w:val="18"/>
          <w:lang w:val="zh-CN"/>
        </w:rPr>
        <w:t>2017</w:t>
      </w:r>
      <w:r w:rsidRPr="00662712">
        <w:rPr>
          <w:rFonts w:ascii="楷体_GB2312" w:eastAsia="楷体_GB2312" w:cs="楷体_GB2312" w:hint="eastAsia"/>
          <w:color w:val="000000"/>
          <w:kern w:val="0"/>
          <w:sz w:val="18"/>
          <w:szCs w:val="18"/>
          <w:lang w:val="zh-CN"/>
        </w:rPr>
        <w:t>年</w:t>
      </w:r>
      <w:r w:rsidRPr="00662712">
        <w:rPr>
          <w:rFonts w:ascii="楷体_GB2312" w:eastAsia="楷体_GB2312" w:cs="楷体_GB2312"/>
          <w:color w:val="000000"/>
          <w:kern w:val="0"/>
          <w:sz w:val="18"/>
          <w:szCs w:val="18"/>
          <w:lang w:val="zh-CN"/>
        </w:rPr>
        <w:t>1</w:t>
      </w:r>
      <w:r w:rsidRPr="00662712">
        <w:rPr>
          <w:rFonts w:ascii="楷体_GB2312" w:eastAsia="楷体_GB2312" w:cs="楷体_GB2312" w:hint="eastAsia"/>
          <w:color w:val="000000"/>
          <w:kern w:val="0"/>
          <w:sz w:val="18"/>
          <w:szCs w:val="18"/>
          <w:lang w:val="zh-CN"/>
        </w:rPr>
        <w:t>月</w:t>
      </w:r>
      <w:r w:rsidRPr="00662712">
        <w:rPr>
          <w:rFonts w:ascii="楷体_GB2312" w:eastAsia="楷体_GB2312" w:cs="楷体_GB2312"/>
          <w:color w:val="000000"/>
          <w:kern w:val="0"/>
          <w:sz w:val="18"/>
          <w:szCs w:val="18"/>
          <w:lang w:val="zh-CN"/>
        </w:rPr>
        <w:t>-2020</w:t>
      </w:r>
      <w:r w:rsidRPr="00662712">
        <w:rPr>
          <w:rFonts w:ascii="楷体_GB2312" w:eastAsia="楷体_GB2312" w:cs="楷体_GB2312" w:hint="eastAsia"/>
          <w:color w:val="000000"/>
          <w:kern w:val="0"/>
          <w:sz w:val="18"/>
          <w:szCs w:val="18"/>
          <w:lang w:val="zh-CN"/>
        </w:rPr>
        <w:t>年</w:t>
      </w:r>
      <w:r w:rsidRPr="00662712">
        <w:rPr>
          <w:rFonts w:ascii="楷体_GB2312" w:eastAsia="楷体_GB2312" w:cs="楷体_GB2312"/>
          <w:color w:val="000000"/>
          <w:kern w:val="0"/>
          <w:sz w:val="18"/>
          <w:szCs w:val="18"/>
          <w:lang w:val="zh-CN"/>
        </w:rPr>
        <w:t>1</w:t>
      </w:r>
      <w:r w:rsidRPr="00662712">
        <w:rPr>
          <w:rFonts w:ascii="楷体_GB2312" w:eastAsia="楷体_GB2312" w:cs="楷体_GB2312" w:hint="eastAsia"/>
          <w:color w:val="000000"/>
          <w:kern w:val="0"/>
          <w:sz w:val="18"/>
          <w:szCs w:val="18"/>
          <w:lang w:val="zh-CN"/>
        </w:rPr>
        <w:t>月在笔者医院进行牙齿矫治的</w:t>
      </w:r>
      <w:r w:rsidRPr="00662712">
        <w:rPr>
          <w:rFonts w:ascii="楷体_GB2312" w:eastAsia="楷体_GB2312" w:cs="楷体_GB2312"/>
          <w:color w:val="000000"/>
          <w:kern w:val="0"/>
          <w:sz w:val="18"/>
          <w:szCs w:val="18"/>
          <w:lang w:val="zh-CN"/>
        </w:rPr>
        <w:t>170</w:t>
      </w:r>
      <w:r w:rsidRPr="00662712">
        <w:rPr>
          <w:rFonts w:ascii="楷体_GB2312" w:eastAsia="楷体_GB2312" w:cs="楷体_GB2312" w:hint="eastAsia"/>
          <w:color w:val="000000"/>
          <w:kern w:val="0"/>
          <w:sz w:val="18"/>
          <w:szCs w:val="18"/>
          <w:lang w:val="zh-CN"/>
        </w:rPr>
        <w:t>例患者为研究对象，根据矫治方法的不同分为隐形组和传统组，每组</w:t>
      </w:r>
      <w:r w:rsidRPr="00662712">
        <w:rPr>
          <w:rFonts w:ascii="楷体_GB2312" w:eastAsia="楷体_GB2312" w:cs="楷体_GB2312"/>
          <w:color w:val="000000"/>
          <w:kern w:val="0"/>
          <w:sz w:val="18"/>
          <w:szCs w:val="18"/>
          <w:lang w:val="zh-CN"/>
        </w:rPr>
        <w:t>85</w:t>
      </w:r>
      <w:r w:rsidRPr="00662712">
        <w:rPr>
          <w:rFonts w:ascii="楷体_GB2312" w:eastAsia="楷体_GB2312" w:cs="楷体_GB2312" w:hint="eastAsia"/>
          <w:color w:val="000000"/>
          <w:kern w:val="0"/>
          <w:sz w:val="18"/>
          <w:szCs w:val="18"/>
          <w:lang w:val="zh-CN"/>
        </w:rPr>
        <w:t>例。传统组接受传统固定矫治</w:t>
      </w:r>
      <w:r w:rsidRPr="00662712">
        <w:rPr>
          <w:rFonts w:ascii="楷体_GB2312" w:eastAsia="楷体_GB2312" w:cs="楷体_GB2312" w:hint="eastAsia"/>
          <w:color w:val="000000"/>
          <w:spacing w:val="4"/>
          <w:kern w:val="0"/>
          <w:sz w:val="18"/>
          <w:szCs w:val="18"/>
          <w:lang w:val="zh-CN"/>
        </w:rPr>
        <w:t>技术治疗，隐形组接受无托槽隐形矫治技术治疗。回顾性收集两组的临床资料，记录两组矫治时间、矫治前后的牙周健康指数，并以多因素</w:t>
      </w:r>
      <w:r w:rsidRPr="00662712">
        <w:rPr>
          <w:rFonts w:ascii="楷体_GB2312" w:eastAsia="楷体_GB2312" w:cs="楷体_GB2312"/>
          <w:color w:val="000000"/>
          <w:spacing w:val="4"/>
          <w:kern w:val="0"/>
          <w:sz w:val="18"/>
          <w:szCs w:val="18"/>
          <w:lang w:val="zh-CN"/>
        </w:rPr>
        <w:t>Logistic</w:t>
      </w:r>
      <w:r w:rsidRPr="00662712">
        <w:rPr>
          <w:rFonts w:ascii="楷体_GB2312" w:eastAsia="楷体_GB2312" w:cs="楷体_GB2312" w:hint="eastAsia"/>
          <w:color w:val="000000"/>
          <w:spacing w:val="4"/>
          <w:kern w:val="0"/>
          <w:sz w:val="18"/>
          <w:szCs w:val="18"/>
          <w:lang w:val="zh-CN"/>
        </w:rPr>
        <w:t>回归分析方法分析患者对无托槽隐形矫治器治疗接受度的相关影响因素。</w:t>
      </w:r>
      <w:r w:rsidRPr="00662712">
        <w:rPr>
          <w:rFonts w:ascii="黑体" w:eastAsia="黑体" w:cs="黑体" w:hint="eastAsia"/>
          <w:color w:val="000000"/>
          <w:spacing w:val="4"/>
          <w:kern w:val="0"/>
          <w:sz w:val="18"/>
          <w:lang w:val="zh-CN"/>
        </w:rPr>
        <w:t>结果：</w:t>
      </w:r>
      <w:r w:rsidRPr="00662712">
        <w:rPr>
          <w:rFonts w:ascii="楷体_GB2312" w:eastAsia="楷体_GB2312" w:cs="楷体_GB2312" w:hint="eastAsia"/>
          <w:color w:val="000000"/>
          <w:spacing w:val="4"/>
          <w:kern w:val="0"/>
          <w:sz w:val="18"/>
          <w:szCs w:val="18"/>
          <w:lang w:val="zh-CN"/>
        </w:rPr>
        <w:t>隐形组倾斜牙竖直、扭转牙矫正的时间长于传统组（</w:t>
      </w:r>
      <w:r w:rsidRPr="00662712">
        <w:rPr>
          <w:rFonts w:ascii="楷体_GB2312" w:eastAsia="楷体_GB2312" w:cs="楷体_GB2312"/>
          <w:color w:val="000000"/>
          <w:spacing w:val="4"/>
          <w:kern w:val="0"/>
          <w:sz w:val="18"/>
          <w:szCs w:val="18"/>
          <w:lang w:val="zh-CN"/>
        </w:rPr>
        <w:t>P</w:t>
      </w:r>
      <w:r w:rsidRPr="00662712">
        <w:rPr>
          <w:rFonts w:ascii="楷体_GB2312" w:eastAsia="楷体_GB2312" w:cs="楷体_GB2312" w:hint="eastAsia"/>
          <w:color w:val="000000"/>
          <w:spacing w:val="4"/>
          <w:kern w:val="0"/>
          <w:sz w:val="18"/>
          <w:szCs w:val="18"/>
          <w:lang w:val="zh-CN"/>
        </w:rPr>
        <w:t>＜</w:t>
      </w:r>
      <w:r w:rsidRPr="00662712">
        <w:rPr>
          <w:rFonts w:ascii="楷体_GB2312" w:eastAsia="楷体_GB2312" w:cs="楷体_GB2312"/>
          <w:color w:val="000000"/>
          <w:spacing w:val="4"/>
          <w:kern w:val="0"/>
          <w:sz w:val="18"/>
          <w:szCs w:val="18"/>
          <w:lang w:val="zh-CN"/>
        </w:rPr>
        <w:t>0.05</w:t>
      </w:r>
      <w:r w:rsidRPr="00662712">
        <w:rPr>
          <w:rFonts w:ascii="楷体_GB2312" w:eastAsia="楷体_GB2312" w:cs="楷体_GB2312" w:hint="eastAsia"/>
          <w:color w:val="000000"/>
          <w:spacing w:val="4"/>
          <w:kern w:val="0"/>
          <w:sz w:val="18"/>
          <w:szCs w:val="18"/>
          <w:lang w:val="zh-CN"/>
        </w:rPr>
        <w:t>），但两组总治疗时间比较，差异无统计学意义（</w:t>
      </w:r>
      <w:r w:rsidRPr="00662712">
        <w:rPr>
          <w:rFonts w:ascii="楷体_GB2312" w:eastAsia="楷体_GB2312" w:cs="楷体_GB2312"/>
          <w:color w:val="000000"/>
          <w:spacing w:val="4"/>
          <w:kern w:val="0"/>
          <w:sz w:val="18"/>
          <w:szCs w:val="18"/>
          <w:lang w:val="zh-CN"/>
        </w:rPr>
        <w:t>P</w:t>
      </w:r>
      <w:r w:rsidRPr="00662712">
        <w:rPr>
          <w:rFonts w:ascii="楷体_GB2312" w:eastAsia="楷体_GB2312" w:cs="楷体_GB2312" w:hint="eastAsia"/>
          <w:color w:val="000000"/>
          <w:spacing w:val="4"/>
          <w:kern w:val="0"/>
          <w:sz w:val="18"/>
          <w:szCs w:val="18"/>
          <w:lang w:val="zh-CN"/>
        </w:rPr>
        <w:t>＞</w:t>
      </w:r>
      <w:r w:rsidRPr="00662712">
        <w:rPr>
          <w:rFonts w:ascii="楷体_GB2312" w:eastAsia="楷体_GB2312" w:cs="楷体_GB2312"/>
          <w:color w:val="000000"/>
          <w:spacing w:val="4"/>
          <w:kern w:val="0"/>
          <w:sz w:val="18"/>
          <w:szCs w:val="18"/>
          <w:lang w:val="zh-CN"/>
        </w:rPr>
        <w:t>0.05</w:t>
      </w:r>
      <w:r w:rsidRPr="00662712">
        <w:rPr>
          <w:rFonts w:ascii="楷体_GB2312" w:eastAsia="楷体_GB2312" w:cs="楷体_GB2312" w:hint="eastAsia"/>
          <w:color w:val="000000"/>
          <w:spacing w:val="4"/>
          <w:kern w:val="0"/>
          <w:sz w:val="18"/>
          <w:szCs w:val="18"/>
          <w:lang w:val="zh-CN"/>
        </w:rPr>
        <w:t>）</w:t>
      </w:r>
      <w:r w:rsidRPr="00662712">
        <w:rPr>
          <w:rFonts w:ascii="楷体_GB2312" w:eastAsia="楷体_GB2312" w:cs="楷体_GB2312" w:hint="eastAsia"/>
          <w:color w:val="000000"/>
          <w:spacing w:val="7"/>
          <w:kern w:val="0"/>
          <w:sz w:val="18"/>
          <w:szCs w:val="18"/>
          <w:lang w:val="zh-CN"/>
        </w:rPr>
        <w:t>。矫治后，两组</w:t>
      </w:r>
      <w:r w:rsidRPr="00662712">
        <w:rPr>
          <w:rFonts w:ascii="楷体_GB2312" w:eastAsia="楷体_GB2312" w:cs="楷体_GB2312"/>
          <w:color w:val="000000"/>
          <w:spacing w:val="7"/>
          <w:kern w:val="0"/>
          <w:sz w:val="18"/>
          <w:szCs w:val="18"/>
          <w:lang w:val="zh-CN"/>
        </w:rPr>
        <w:t>GI</w:t>
      </w:r>
      <w:r w:rsidRPr="00662712">
        <w:rPr>
          <w:rFonts w:ascii="楷体_GB2312" w:eastAsia="楷体_GB2312" w:cs="楷体_GB2312" w:hint="eastAsia"/>
          <w:color w:val="000000"/>
          <w:spacing w:val="7"/>
          <w:kern w:val="0"/>
          <w:sz w:val="18"/>
          <w:szCs w:val="18"/>
          <w:lang w:val="zh-CN"/>
        </w:rPr>
        <w:t>、</w:t>
      </w:r>
      <w:r w:rsidRPr="00662712">
        <w:rPr>
          <w:rFonts w:ascii="楷体_GB2312" w:eastAsia="楷体_GB2312" w:cs="楷体_GB2312"/>
          <w:color w:val="000000"/>
          <w:spacing w:val="7"/>
          <w:kern w:val="0"/>
          <w:sz w:val="18"/>
          <w:szCs w:val="18"/>
          <w:lang w:val="zh-CN"/>
        </w:rPr>
        <w:t>PLI</w:t>
      </w:r>
      <w:r w:rsidRPr="00662712">
        <w:rPr>
          <w:rFonts w:ascii="楷体_GB2312" w:eastAsia="楷体_GB2312" w:cs="楷体_GB2312" w:hint="eastAsia"/>
          <w:color w:val="000000"/>
          <w:spacing w:val="7"/>
          <w:kern w:val="0"/>
          <w:sz w:val="18"/>
          <w:szCs w:val="18"/>
          <w:lang w:val="zh-CN"/>
        </w:rPr>
        <w:t>、</w:t>
      </w:r>
      <w:r w:rsidRPr="00662712">
        <w:rPr>
          <w:rFonts w:ascii="楷体_GB2312" w:eastAsia="楷体_GB2312" w:cs="楷体_GB2312"/>
          <w:color w:val="000000"/>
          <w:spacing w:val="7"/>
          <w:kern w:val="0"/>
          <w:sz w:val="18"/>
          <w:szCs w:val="18"/>
          <w:lang w:val="zh-CN"/>
        </w:rPr>
        <w:t>SBI</w:t>
      </w:r>
      <w:r w:rsidRPr="00662712">
        <w:rPr>
          <w:rFonts w:ascii="楷体_GB2312" w:eastAsia="楷体_GB2312" w:cs="楷体_GB2312" w:hint="eastAsia"/>
          <w:color w:val="000000"/>
          <w:spacing w:val="7"/>
          <w:kern w:val="0"/>
          <w:sz w:val="18"/>
          <w:szCs w:val="18"/>
          <w:lang w:val="zh-CN"/>
        </w:rPr>
        <w:t>均显著高于矫治前，但隐形组低于传统组（</w:t>
      </w:r>
      <w:r w:rsidRPr="00662712">
        <w:rPr>
          <w:rFonts w:ascii="楷体_GB2312" w:eastAsia="楷体_GB2312" w:cs="楷体_GB2312"/>
          <w:color w:val="000000"/>
          <w:spacing w:val="7"/>
          <w:kern w:val="0"/>
          <w:sz w:val="18"/>
          <w:szCs w:val="18"/>
          <w:lang w:val="zh-CN"/>
        </w:rPr>
        <w:t>P</w:t>
      </w:r>
      <w:r w:rsidRPr="00662712">
        <w:rPr>
          <w:rFonts w:ascii="楷体_GB2312" w:eastAsia="楷体_GB2312" w:cs="楷体_GB2312" w:hint="eastAsia"/>
          <w:color w:val="000000"/>
          <w:spacing w:val="7"/>
          <w:kern w:val="0"/>
          <w:sz w:val="18"/>
          <w:szCs w:val="18"/>
          <w:lang w:val="zh-CN"/>
        </w:rPr>
        <w:t>＜</w:t>
      </w:r>
      <w:r w:rsidRPr="00662712">
        <w:rPr>
          <w:rFonts w:ascii="楷体_GB2312" w:eastAsia="楷体_GB2312" w:cs="楷体_GB2312"/>
          <w:color w:val="000000"/>
          <w:spacing w:val="7"/>
          <w:kern w:val="0"/>
          <w:sz w:val="18"/>
          <w:szCs w:val="18"/>
          <w:lang w:val="zh-CN"/>
        </w:rPr>
        <w:t>0.05</w:t>
      </w:r>
      <w:r w:rsidRPr="00662712">
        <w:rPr>
          <w:rFonts w:ascii="楷体_GB2312" w:eastAsia="楷体_GB2312" w:cs="楷体_GB2312" w:hint="eastAsia"/>
          <w:color w:val="000000"/>
          <w:spacing w:val="7"/>
          <w:kern w:val="0"/>
          <w:sz w:val="18"/>
          <w:szCs w:val="18"/>
          <w:lang w:val="zh-CN"/>
        </w:rPr>
        <w:t>）；而</w:t>
      </w:r>
      <w:r w:rsidRPr="00662712">
        <w:rPr>
          <w:rFonts w:ascii="楷体_GB2312" w:eastAsia="楷体_GB2312" w:cs="楷体_GB2312"/>
          <w:color w:val="000000"/>
          <w:spacing w:val="7"/>
          <w:kern w:val="0"/>
          <w:sz w:val="18"/>
          <w:szCs w:val="18"/>
          <w:lang w:val="zh-CN"/>
        </w:rPr>
        <w:t>SPD</w:t>
      </w:r>
      <w:r w:rsidRPr="00662712">
        <w:rPr>
          <w:rFonts w:ascii="楷体_GB2312" w:eastAsia="楷体_GB2312" w:cs="楷体_GB2312" w:hint="eastAsia"/>
          <w:color w:val="000000"/>
          <w:spacing w:val="7"/>
          <w:kern w:val="0"/>
          <w:sz w:val="18"/>
          <w:szCs w:val="18"/>
          <w:lang w:val="zh-CN"/>
        </w:rPr>
        <w:t>水平下降，且隐形组低于传统组（</w:t>
      </w:r>
      <w:r w:rsidRPr="00662712">
        <w:rPr>
          <w:rFonts w:ascii="楷体_GB2312" w:eastAsia="楷体_GB2312" w:cs="楷体_GB2312"/>
          <w:color w:val="000000"/>
          <w:spacing w:val="7"/>
          <w:kern w:val="0"/>
          <w:sz w:val="18"/>
          <w:szCs w:val="18"/>
          <w:lang w:val="zh-CN"/>
        </w:rPr>
        <w:t>P</w:t>
      </w:r>
      <w:r w:rsidRPr="00662712">
        <w:rPr>
          <w:rFonts w:ascii="楷体_GB2312" w:eastAsia="楷体_GB2312" w:cs="楷体_GB2312" w:hint="eastAsia"/>
          <w:color w:val="000000"/>
          <w:spacing w:val="7"/>
          <w:kern w:val="0"/>
          <w:sz w:val="18"/>
          <w:szCs w:val="18"/>
          <w:lang w:val="zh-CN"/>
        </w:rPr>
        <w:t>＜</w:t>
      </w:r>
      <w:r w:rsidRPr="00662712">
        <w:rPr>
          <w:rFonts w:ascii="楷体_GB2312" w:eastAsia="楷体_GB2312" w:cs="楷体_GB2312"/>
          <w:color w:val="000000"/>
          <w:spacing w:val="7"/>
          <w:kern w:val="0"/>
          <w:sz w:val="18"/>
          <w:szCs w:val="18"/>
          <w:lang w:val="zh-CN"/>
        </w:rPr>
        <w:t>0.05</w:t>
      </w:r>
      <w:r w:rsidRPr="00662712">
        <w:rPr>
          <w:rFonts w:ascii="楷体_GB2312" w:eastAsia="楷体_GB2312" w:cs="楷体_GB2312" w:hint="eastAsia"/>
          <w:color w:val="000000"/>
          <w:spacing w:val="7"/>
          <w:kern w:val="0"/>
          <w:sz w:val="18"/>
          <w:szCs w:val="18"/>
          <w:lang w:val="zh-CN"/>
        </w:rPr>
        <w:t>）。多因</w:t>
      </w:r>
      <w:r w:rsidRPr="00662712">
        <w:rPr>
          <w:rFonts w:ascii="楷体_GB2312" w:eastAsia="楷体_GB2312" w:cs="楷体_GB2312" w:hint="eastAsia"/>
          <w:color w:val="000000"/>
          <w:kern w:val="0"/>
          <w:sz w:val="18"/>
          <w:szCs w:val="18"/>
          <w:lang w:val="zh-CN"/>
        </w:rPr>
        <w:t>素</w:t>
      </w:r>
      <w:r w:rsidRPr="00662712">
        <w:rPr>
          <w:rFonts w:ascii="楷体_GB2312" w:eastAsia="楷体_GB2312" w:cs="楷体_GB2312"/>
          <w:color w:val="000000"/>
          <w:kern w:val="0"/>
          <w:sz w:val="18"/>
          <w:szCs w:val="18"/>
          <w:lang w:val="zh-CN"/>
        </w:rPr>
        <w:t>Logistic</w:t>
      </w:r>
      <w:r w:rsidRPr="00662712">
        <w:rPr>
          <w:rFonts w:ascii="楷体_GB2312" w:eastAsia="楷体_GB2312" w:cs="楷体_GB2312" w:hint="eastAsia"/>
          <w:color w:val="000000"/>
          <w:kern w:val="0"/>
          <w:sz w:val="18"/>
          <w:szCs w:val="18"/>
          <w:lang w:val="zh-CN"/>
        </w:rPr>
        <w:t>回归分析结果显示：家庭月收入＞</w:t>
      </w:r>
      <w:r w:rsidRPr="00662712">
        <w:rPr>
          <w:rFonts w:ascii="楷体_GB2312" w:eastAsia="楷体_GB2312" w:cs="楷体_GB2312"/>
          <w:color w:val="000000"/>
          <w:kern w:val="0"/>
          <w:sz w:val="18"/>
          <w:szCs w:val="18"/>
          <w:lang w:val="zh-CN"/>
        </w:rPr>
        <w:t>6</w:t>
      </w:r>
      <w:r w:rsidRPr="00662712">
        <w:rPr>
          <w:rFonts w:ascii="MS Mincho" w:eastAsia="MS Mincho" w:hAnsi="MS Mincho" w:cs="MS Mincho" w:hint="eastAsia"/>
          <w:color w:val="000000"/>
          <w:kern w:val="0"/>
          <w:sz w:val="18"/>
          <w:szCs w:val="18"/>
          <w:lang w:val="zh-CN"/>
        </w:rPr>
        <w:t> </w:t>
      </w:r>
      <w:r w:rsidRPr="00662712">
        <w:rPr>
          <w:rFonts w:ascii="楷体_GB2312" w:eastAsia="楷体_GB2312" w:cs="楷体_GB2312"/>
          <w:color w:val="000000"/>
          <w:kern w:val="0"/>
          <w:sz w:val="18"/>
          <w:szCs w:val="18"/>
          <w:lang w:val="zh-CN"/>
        </w:rPr>
        <w:t>000</w:t>
      </w:r>
      <w:r w:rsidRPr="00662712">
        <w:rPr>
          <w:rFonts w:ascii="楷体_GB2312" w:eastAsia="楷体_GB2312" w:cs="楷体_GB2312" w:hint="eastAsia"/>
          <w:color w:val="000000"/>
          <w:kern w:val="0"/>
          <w:sz w:val="18"/>
          <w:szCs w:val="18"/>
          <w:lang w:val="zh-CN"/>
        </w:rPr>
        <w:t>元</w:t>
      </w:r>
      <w:r w:rsidRPr="00662712">
        <w:rPr>
          <w:rFonts w:ascii="楷体_GB2312" w:eastAsia="楷体_GB2312" w:cs="楷体_GB2312"/>
          <w:color w:val="000000"/>
          <w:kern w:val="0"/>
          <w:sz w:val="18"/>
          <w:szCs w:val="18"/>
          <w:lang w:val="zh-CN"/>
        </w:rPr>
        <w:t>/</w:t>
      </w:r>
      <w:r w:rsidRPr="00662712">
        <w:rPr>
          <w:rFonts w:ascii="楷体_GB2312" w:eastAsia="楷体_GB2312" w:cs="楷体_GB2312" w:hint="eastAsia"/>
          <w:color w:val="000000"/>
          <w:kern w:val="0"/>
          <w:sz w:val="18"/>
          <w:szCs w:val="18"/>
          <w:lang w:val="zh-CN"/>
        </w:rPr>
        <w:t>月、医生信任度良好均为患者无托槽隐形矫治器治疗接受度的促进因素（</w:t>
      </w:r>
      <w:r w:rsidRPr="00662712">
        <w:rPr>
          <w:rFonts w:ascii="楷体_GB2312" w:eastAsia="楷体_GB2312" w:cs="楷体_GB2312"/>
          <w:color w:val="000000"/>
          <w:kern w:val="0"/>
          <w:sz w:val="18"/>
          <w:szCs w:val="18"/>
          <w:lang w:val="zh-CN"/>
        </w:rPr>
        <w:t>OR=3.459</w:t>
      </w:r>
      <w:r w:rsidRPr="00662712">
        <w:rPr>
          <w:rFonts w:ascii="楷体_GB2312" w:eastAsia="楷体_GB2312" w:cs="楷体_GB2312" w:hint="eastAsia"/>
          <w:color w:val="000000"/>
          <w:kern w:val="0"/>
          <w:sz w:val="18"/>
          <w:szCs w:val="18"/>
          <w:lang w:val="zh-CN"/>
        </w:rPr>
        <w:t>，</w:t>
      </w:r>
      <w:r w:rsidRPr="00662712">
        <w:rPr>
          <w:rFonts w:ascii="楷体_GB2312" w:eastAsia="楷体_GB2312" w:cs="楷体_GB2312"/>
          <w:color w:val="000000"/>
          <w:kern w:val="0"/>
          <w:sz w:val="18"/>
          <w:szCs w:val="18"/>
          <w:lang w:val="zh-CN"/>
        </w:rPr>
        <w:t>2.273</w:t>
      </w:r>
      <w:r w:rsidRPr="00662712">
        <w:rPr>
          <w:rFonts w:ascii="楷体_GB2312" w:eastAsia="楷体_GB2312" w:cs="楷体_GB2312" w:hint="eastAsia"/>
          <w:color w:val="000000"/>
          <w:kern w:val="0"/>
          <w:sz w:val="18"/>
          <w:szCs w:val="18"/>
          <w:lang w:val="zh-CN"/>
        </w:rPr>
        <w:t>，</w:t>
      </w:r>
      <w:r w:rsidRPr="00662712">
        <w:rPr>
          <w:rFonts w:ascii="楷体_GB2312" w:eastAsia="楷体_GB2312" w:cs="楷体_GB2312"/>
          <w:color w:val="000000"/>
          <w:kern w:val="0"/>
          <w:sz w:val="18"/>
          <w:szCs w:val="18"/>
          <w:lang w:val="zh-CN"/>
        </w:rPr>
        <w:t>P</w:t>
      </w:r>
      <w:r w:rsidRPr="00662712">
        <w:rPr>
          <w:rFonts w:ascii="楷体_GB2312" w:eastAsia="楷体_GB2312" w:cs="楷体_GB2312" w:hint="eastAsia"/>
          <w:color w:val="000000"/>
          <w:kern w:val="0"/>
          <w:sz w:val="18"/>
          <w:szCs w:val="18"/>
          <w:lang w:val="zh-CN"/>
        </w:rPr>
        <w:t>＜</w:t>
      </w:r>
      <w:r w:rsidRPr="00662712">
        <w:rPr>
          <w:rFonts w:ascii="楷体_GB2312" w:eastAsia="楷体_GB2312" w:cs="楷体_GB2312"/>
          <w:color w:val="000000"/>
          <w:kern w:val="0"/>
          <w:sz w:val="18"/>
          <w:szCs w:val="18"/>
          <w:lang w:val="zh-CN"/>
        </w:rPr>
        <w:t>0.05</w:t>
      </w:r>
      <w:r w:rsidRPr="00662712">
        <w:rPr>
          <w:rFonts w:ascii="楷体_GB2312" w:eastAsia="楷体_GB2312" w:cs="楷体_GB2312" w:hint="eastAsia"/>
          <w:color w:val="000000"/>
          <w:kern w:val="0"/>
          <w:sz w:val="18"/>
          <w:szCs w:val="18"/>
          <w:lang w:val="zh-CN"/>
        </w:rPr>
        <w:t>）。</w:t>
      </w:r>
      <w:r w:rsidRPr="00662712">
        <w:rPr>
          <w:rFonts w:ascii="黑体" w:eastAsia="黑体" w:cs="黑体" w:hint="eastAsia"/>
          <w:color w:val="000000"/>
          <w:kern w:val="0"/>
          <w:sz w:val="18"/>
          <w:lang w:val="zh-CN"/>
        </w:rPr>
        <w:t>结论：</w:t>
      </w:r>
      <w:r w:rsidRPr="00662712">
        <w:rPr>
          <w:rFonts w:ascii="楷体_GB2312" w:eastAsia="楷体_GB2312" w:cs="楷体_GB2312" w:hint="eastAsia"/>
          <w:color w:val="000000"/>
          <w:kern w:val="0"/>
          <w:sz w:val="18"/>
          <w:szCs w:val="18"/>
          <w:lang w:val="zh-CN"/>
        </w:rPr>
        <w:t>无托槽隐形矫治技术倾斜牙</w:t>
      </w:r>
      <w:r w:rsidRPr="00662712">
        <w:rPr>
          <w:rFonts w:ascii="楷体_GB2312" w:eastAsia="楷体_GB2312" w:cs="楷体_GB2312" w:hint="eastAsia"/>
          <w:color w:val="000000"/>
          <w:spacing w:val="4"/>
          <w:kern w:val="0"/>
          <w:sz w:val="18"/>
          <w:szCs w:val="18"/>
          <w:lang w:val="zh-CN"/>
        </w:rPr>
        <w:t>竖直</w:t>
      </w:r>
      <w:r w:rsidRPr="00662712">
        <w:rPr>
          <w:rFonts w:ascii="楷体_GB2312" w:eastAsia="楷体_GB2312" w:cs="楷体_GB2312" w:hint="eastAsia"/>
          <w:color w:val="000000"/>
          <w:kern w:val="0"/>
          <w:sz w:val="18"/>
          <w:szCs w:val="18"/>
          <w:lang w:val="zh-CN"/>
        </w:rPr>
        <w:t>、</w:t>
      </w:r>
      <w:r w:rsidRPr="00662712">
        <w:rPr>
          <w:rFonts w:ascii="楷体_GB2312" w:eastAsia="楷体_GB2312" w:cs="楷体_GB2312" w:hint="eastAsia"/>
          <w:color w:val="000000"/>
          <w:spacing w:val="4"/>
          <w:kern w:val="0"/>
          <w:sz w:val="18"/>
          <w:szCs w:val="18"/>
          <w:lang w:val="zh-CN"/>
        </w:rPr>
        <w:t>扭转</w:t>
      </w:r>
      <w:r w:rsidRPr="00662712">
        <w:rPr>
          <w:rFonts w:ascii="楷体_GB2312" w:eastAsia="楷体_GB2312" w:cs="楷体_GB2312" w:hint="eastAsia"/>
          <w:color w:val="000000"/>
          <w:kern w:val="0"/>
          <w:sz w:val="18"/>
          <w:szCs w:val="18"/>
          <w:lang w:val="zh-CN"/>
        </w:rPr>
        <w:t>牙</w:t>
      </w:r>
      <w:r w:rsidRPr="00662712">
        <w:rPr>
          <w:rFonts w:ascii="楷体_GB2312" w:eastAsia="楷体_GB2312" w:cs="楷体_GB2312" w:hint="eastAsia"/>
          <w:color w:val="000000"/>
          <w:spacing w:val="4"/>
          <w:kern w:val="0"/>
          <w:sz w:val="18"/>
          <w:szCs w:val="18"/>
          <w:lang w:val="zh-CN"/>
        </w:rPr>
        <w:t>矫</w:t>
      </w:r>
      <w:r w:rsidRPr="00662712">
        <w:rPr>
          <w:rFonts w:ascii="楷体_GB2312" w:eastAsia="楷体_GB2312" w:cs="楷体_GB2312" w:hint="eastAsia"/>
          <w:color w:val="000000"/>
          <w:kern w:val="0"/>
          <w:sz w:val="18"/>
          <w:szCs w:val="18"/>
          <w:lang w:val="zh-CN"/>
        </w:rPr>
        <w:t>正时间延长，可有效改善患者牙周健康指数，但患者家庭月收入、对医生的信任度等因素可能影响其对无托槽隐形矫治器治疗的接受度。</w:t>
      </w:r>
    </w:p>
    <w:p w:rsidR="00662712" w:rsidRPr="00662712" w:rsidRDefault="00662712" w:rsidP="0066271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662712">
        <w:rPr>
          <w:rFonts w:ascii="黑体" w:eastAsia="黑体" w:cs="黑体"/>
          <w:color w:val="000000"/>
          <w:kern w:val="0"/>
          <w:sz w:val="18"/>
          <w:lang w:val="zh-CN"/>
        </w:rPr>
        <w:t>[</w:t>
      </w:r>
      <w:r w:rsidRPr="00662712">
        <w:rPr>
          <w:rFonts w:ascii="黑体" w:eastAsia="黑体" w:cs="黑体" w:hint="eastAsia"/>
          <w:color w:val="000000"/>
          <w:kern w:val="0"/>
          <w:sz w:val="18"/>
          <w:lang w:val="zh-CN"/>
        </w:rPr>
        <w:t>关键词</w:t>
      </w:r>
      <w:r w:rsidRPr="00662712">
        <w:rPr>
          <w:rFonts w:ascii="黑体" w:eastAsia="黑体" w:cs="黑体"/>
          <w:color w:val="000000"/>
          <w:kern w:val="0"/>
          <w:sz w:val="18"/>
          <w:lang w:val="zh-CN"/>
        </w:rPr>
        <w:t>]</w:t>
      </w:r>
      <w:r w:rsidRPr="00662712">
        <w:rPr>
          <w:rFonts w:ascii="楷体_GB2312" w:eastAsia="楷体_GB2312" w:cs="楷体_GB2312" w:hint="eastAsia"/>
          <w:color w:val="000000"/>
          <w:kern w:val="0"/>
          <w:sz w:val="18"/>
          <w:szCs w:val="18"/>
          <w:lang w:val="zh-CN"/>
        </w:rPr>
        <w:t>无托槽；隐形；矫治；牙周健康指数；接受度；影响因素</w:t>
      </w:r>
    </w:p>
    <w:p w:rsidR="00662712" w:rsidRPr="00662712" w:rsidRDefault="00662712" w:rsidP="00662712">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662712">
        <w:rPr>
          <w:rFonts w:ascii="黑体" w:eastAsia="黑体" w:cs="黑体"/>
          <w:color w:val="000000"/>
          <w:kern w:val="0"/>
          <w:sz w:val="18"/>
          <w:lang w:val="zh-CN"/>
        </w:rPr>
        <w:t>[</w:t>
      </w:r>
      <w:r w:rsidRPr="00662712">
        <w:rPr>
          <w:rFonts w:ascii="黑体" w:eastAsia="黑体" w:cs="黑体" w:hint="eastAsia"/>
          <w:color w:val="000000"/>
          <w:kern w:val="0"/>
          <w:sz w:val="18"/>
          <w:lang w:val="zh-CN"/>
        </w:rPr>
        <w:t>中图分类号</w:t>
      </w:r>
      <w:r w:rsidRPr="00662712">
        <w:rPr>
          <w:rFonts w:ascii="黑体" w:eastAsia="黑体" w:cs="黑体"/>
          <w:color w:val="000000"/>
          <w:kern w:val="0"/>
          <w:sz w:val="18"/>
          <w:lang w:val="zh-CN"/>
        </w:rPr>
        <w:t>]</w:t>
      </w:r>
      <w:r w:rsidRPr="00662712">
        <w:rPr>
          <w:rFonts w:ascii="楷体_GB2312" w:eastAsia="楷体_GB2312" w:cs="楷体_GB2312"/>
          <w:color w:val="000000"/>
          <w:kern w:val="0"/>
          <w:sz w:val="18"/>
          <w:szCs w:val="18"/>
          <w:lang w:val="zh-CN"/>
        </w:rPr>
        <w:t xml:space="preserve">R783.5    </w:t>
      </w:r>
      <w:r w:rsidRPr="00662712">
        <w:rPr>
          <w:rFonts w:ascii="黑体" w:eastAsia="黑体" w:cs="黑体"/>
          <w:color w:val="000000"/>
          <w:kern w:val="0"/>
          <w:sz w:val="18"/>
          <w:lang w:val="zh-CN"/>
        </w:rPr>
        <w:t>[</w:t>
      </w:r>
      <w:r w:rsidRPr="00662712">
        <w:rPr>
          <w:rFonts w:ascii="黑体" w:eastAsia="黑体" w:cs="黑体" w:hint="eastAsia"/>
          <w:color w:val="000000"/>
          <w:kern w:val="0"/>
          <w:sz w:val="18"/>
          <w:lang w:val="zh-CN"/>
        </w:rPr>
        <w:t>文献标志码</w:t>
      </w:r>
      <w:r w:rsidRPr="00662712">
        <w:rPr>
          <w:rFonts w:ascii="黑体" w:eastAsia="黑体" w:cs="黑体"/>
          <w:color w:val="000000"/>
          <w:kern w:val="0"/>
          <w:sz w:val="18"/>
          <w:lang w:val="zh-CN"/>
        </w:rPr>
        <w:t>]</w:t>
      </w:r>
      <w:r w:rsidRPr="00662712">
        <w:rPr>
          <w:rFonts w:ascii="楷体_GB2312" w:eastAsia="楷体_GB2312" w:cs="楷体_GB2312"/>
          <w:color w:val="000000"/>
          <w:kern w:val="0"/>
          <w:sz w:val="18"/>
          <w:szCs w:val="18"/>
          <w:lang w:val="zh-CN"/>
        </w:rPr>
        <w:t xml:space="preserve">A   </w:t>
      </w:r>
      <w:r w:rsidRPr="00662712">
        <w:rPr>
          <w:rFonts w:ascii="黑体" w:eastAsia="黑体" w:cs="黑体"/>
          <w:color w:val="000000"/>
          <w:kern w:val="0"/>
          <w:sz w:val="18"/>
          <w:lang w:val="zh-CN"/>
        </w:rPr>
        <w:t xml:space="preserve"> [</w:t>
      </w:r>
      <w:r w:rsidRPr="00662712">
        <w:rPr>
          <w:rFonts w:ascii="黑体" w:eastAsia="黑体" w:cs="黑体" w:hint="eastAsia"/>
          <w:color w:val="000000"/>
          <w:kern w:val="0"/>
          <w:sz w:val="18"/>
          <w:lang w:val="zh-CN"/>
        </w:rPr>
        <w:t>文章编号</w:t>
      </w:r>
      <w:r w:rsidRPr="00662712">
        <w:rPr>
          <w:rFonts w:ascii="黑体" w:eastAsia="黑体" w:cs="黑体"/>
          <w:color w:val="000000"/>
          <w:kern w:val="0"/>
          <w:sz w:val="18"/>
          <w:lang w:val="zh-CN"/>
        </w:rPr>
        <w:t>]</w:t>
      </w:r>
      <w:r w:rsidRPr="00662712">
        <w:rPr>
          <w:rFonts w:ascii="楷体_GB2312" w:eastAsia="楷体_GB2312" w:cs="楷体_GB2312"/>
          <w:color w:val="000000"/>
          <w:kern w:val="0"/>
          <w:sz w:val="18"/>
          <w:szCs w:val="18"/>
          <w:lang w:val="zh-CN"/>
        </w:rPr>
        <w:t>1008-6455</w:t>
      </w:r>
      <w:r w:rsidRPr="00662712">
        <w:rPr>
          <w:rFonts w:ascii="楷体_GB2312" w:eastAsia="楷体_GB2312" w:cs="楷体_GB2312" w:hint="eastAsia"/>
          <w:color w:val="000000"/>
          <w:kern w:val="0"/>
          <w:sz w:val="18"/>
          <w:szCs w:val="18"/>
          <w:lang w:val="zh-CN"/>
        </w:rPr>
        <w:t>（</w:t>
      </w:r>
      <w:r w:rsidRPr="00662712">
        <w:rPr>
          <w:rFonts w:ascii="楷体_GB2312" w:eastAsia="楷体_GB2312" w:cs="楷体_GB2312"/>
          <w:color w:val="000000"/>
          <w:kern w:val="0"/>
          <w:sz w:val="18"/>
          <w:szCs w:val="18"/>
          <w:lang w:val="zh-CN"/>
        </w:rPr>
        <w:t>2022</w:t>
      </w:r>
      <w:r w:rsidRPr="00662712">
        <w:rPr>
          <w:rFonts w:ascii="楷体_GB2312" w:eastAsia="楷体_GB2312" w:cs="楷体_GB2312" w:hint="eastAsia"/>
          <w:color w:val="000000"/>
          <w:kern w:val="0"/>
          <w:sz w:val="18"/>
          <w:szCs w:val="18"/>
          <w:lang w:val="zh-CN"/>
        </w:rPr>
        <w:t>）</w:t>
      </w:r>
      <w:r w:rsidRPr="00662712">
        <w:rPr>
          <w:rFonts w:ascii="楷体_GB2312" w:eastAsia="楷体_GB2312" w:cs="楷体_GB2312"/>
          <w:color w:val="000000"/>
          <w:kern w:val="0"/>
          <w:sz w:val="18"/>
          <w:szCs w:val="18"/>
          <w:lang w:val="zh-CN"/>
        </w:rPr>
        <w:t>01-0142-04</w:t>
      </w:r>
    </w:p>
    <w:p w:rsidR="00662712" w:rsidRPr="00662712" w:rsidRDefault="00662712" w:rsidP="00662712">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662712" w:rsidRPr="00662712" w:rsidRDefault="00662712" w:rsidP="00662712">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rPr>
      </w:pPr>
      <w:r w:rsidRPr="00662712">
        <w:rPr>
          <w:rFonts w:ascii="ITC Avant Garde Gothic Demi" w:eastAsia="方正小标宋_GBK" w:hAnsi="ITC Avant Garde Gothic Demi" w:cs="ITC Avant Garde Gothic Demi"/>
          <w:color w:val="920883"/>
          <w:kern w:val="0"/>
          <w:sz w:val="24"/>
          <w:szCs w:val="24"/>
        </w:rPr>
        <w:t>Study on the Clinical Effect of Bracket-free Invisible Correction and Analysis of Related Influencing Factors of Patients' Acceptance</w:t>
      </w:r>
    </w:p>
    <w:p w:rsidR="00662712" w:rsidRPr="00662712" w:rsidRDefault="00662712" w:rsidP="00662712">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662712">
        <w:rPr>
          <w:rFonts w:ascii="方正兰亭中黑_GBK" w:eastAsia="方正兰亭中黑_GBK" w:cs="方正兰亭中黑_GBK"/>
          <w:color w:val="000000"/>
          <w:kern w:val="0"/>
          <w:sz w:val="18"/>
          <w:szCs w:val="18"/>
        </w:rPr>
        <w:t>LIU Xu, ZHAO Weiping, HE Lin</w:t>
      </w:r>
    </w:p>
    <w:p w:rsidR="00662712" w:rsidRPr="00662712" w:rsidRDefault="00662712" w:rsidP="00662712">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662712">
        <w:rPr>
          <w:rFonts w:ascii="Times New Roman" w:eastAsia="方正小标宋_GBK" w:hAnsi="Times New Roman" w:cs="Times New Roman"/>
          <w:color w:val="000000"/>
          <w:kern w:val="0"/>
          <w:sz w:val="19"/>
          <w:szCs w:val="19"/>
        </w:rPr>
        <w:t>(Department of Stomatology, Suining Central Hospital, Suining 629000, Sichuan, China)</w:t>
      </w:r>
    </w:p>
    <w:p w:rsidR="00662712" w:rsidRPr="00662712" w:rsidRDefault="00662712" w:rsidP="00662712">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rsidR="00662712" w:rsidRPr="00662712" w:rsidRDefault="00662712" w:rsidP="00662712">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662712">
        <w:rPr>
          <w:rFonts w:ascii="Didot HTF-B06-" w:eastAsia="方正小标宋_GBK" w:hAnsi="Didot HTF-B06-" w:cs="Didot HTF-B06-"/>
          <w:b/>
          <w:bCs/>
          <w:color w:val="000000"/>
          <w:kern w:val="0"/>
          <w:sz w:val="19"/>
        </w:rPr>
        <w:t>Abstract: Objective</w:t>
      </w:r>
      <w:r w:rsidRPr="00662712">
        <w:rPr>
          <w:rFonts w:ascii="Times New Roman" w:eastAsia="方正小标宋_GBK" w:hAnsi="Times New Roman" w:cs="Times New Roman"/>
          <w:color w:val="000000"/>
          <w:kern w:val="0"/>
          <w:sz w:val="19"/>
          <w:szCs w:val="19"/>
        </w:rPr>
        <w:t xml:space="preserve"> To analyze the clinical effect of bracket-free invisible correction and the related influencing factors of patients' acceptance. </w:t>
      </w:r>
      <w:r w:rsidRPr="00662712">
        <w:rPr>
          <w:rFonts w:ascii="Didot HTF-B06-" w:eastAsia="方正小标宋_GBK" w:hAnsi="Didot HTF-B06-" w:cs="Didot HTF-B06-"/>
          <w:b/>
          <w:bCs/>
          <w:color w:val="000000"/>
          <w:kern w:val="0"/>
          <w:sz w:val="19"/>
        </w:rPr>
        <w:t xml:space="preserve">Methods </w:t>
      </w:r>
      <w:r w:rsidRPr="00662712">
        <w:rPr>
          <w:rFonts w:ascii="Times New Roman" w:eastAsia="方正小标宋_GBK" w:hAnsi="Times New Roman" w:cs="Times New Roman"/>
          <w:color w:val="000000"/>
          <w:kern w:val="0"/>
          <w:sz w:val="19"/>
          <w:szCs w:val="19"/>
        </w:rPr>
        <w:t xml:space="preserve"> A total of 170 patients undergoing periodontal treatment in our hospital from January 2017 to January 2020 were retrospectively selected and divided into the invisible group and the traditional group according to different treatment methods, with 85 cases in each group. The traditional group received traditional fixed orthodontic treatment, while the invisible group received bracket-free invisible orthodontic treatment. The clinical data of the two groups were collected retrospectively, the treatment time and periodontal health indexs before and after treatment were recorded, and the related influencing factors of patients' acceptance of bracketless invisible appliance were analyzed by multivariate Logistic regression analysis. </w:t>
      </w:r>
      <w:r w:rsidRPr="00662712">
        <w:rPr>
          <w:rFonts w:ascii="Didot HTF-B06-" w:eastAsia="方正小标宋_GBK" w:hAnsi="Didot HTF-B06-" w:cs="Didot HTF-B06-"/>
          <w:b/>
          <w:bCs/>
          <w:color w:val="000000"/>
          <w:kern w:val="0"/>
          <w:sz w:val="19"/>
        </w:rPr>
        <w:t xml:space="preserve">Results </w:t>
      </w:r>
      <w:r w:rsidRPr="00662712">
        <w:rPr>
          <w:rFonts w:ascii="Times New Roman" w:eastAsia="方正小标宋_GBK" w:hAnsi="Times New Roman" w:cs="Times New Roman"/>
          <w:color w:val="000000"/>
          <w:kern w:val="0"/>
          <w:sz w:val="19"/>
          <w:szCs w:val="19"/>
        </w:rPr>
        <w:t xml:space="preserve"> In</w:t>
      </w:r>
      <w:r w:rsidRPr="00662712">
        <w:rPr>
          <w:rFonts w:ascii="Times New Roman" w:eastAsia="方正小标宋_GBK" w:hAnsi="Times New Roman" w:cs="Times New Roman"/>
          <w:color w:val="000000"/>
          <w:spacing w:val="4"/>
          <w:kern w:val="0"/>
          <w:sz w:val="19"/>
          <w:szCs w:val="19"/>
        </w:rPr>
        <w:t xml:space="preserve"> the invisible group, the time of righting inclined teeth and twisting displaced teeth was longer than that in traditional group (P</w:t>
      </w:r>
      <w:r w:rsidRPr="00662712">
        <w:rPr>
          <w:rFonts w:ascii="宋体" w:eastAsia="宋体" w:hAnsi="Times New Roman" w:cs="宋体" w:hint="eastAsia"/>
          <w:color w:val="000000"/>
          <w:spacing w:val="4"/>
          <w:kern w:val="0"/>
          <w:sz w:val="19"/>
          <w:szCs w:val="19"/>
        </w:rPr>
        <w:t>＜</w:t>
      </w:r>
      <w:r w:rsidRPr="00662712">
        <w:rPr>
          <w:rFonts w:ascii="Times New Roman" w:eastAsia="方正小标宋_GBK" w:hAnsi="Times New Roman" w:cs="Times New Roman"/>
          <w:color w:val="000000"/>
          <w:spacing w:val="4"/>
          <w:kern w:val="0"/>
          <w:sz w:val="19"/>
          <w:szCs w:val="19"/>
        </w:rPr>
        <w:t>0.05), but there was no significant difference in total treatment time between the two groups (P</w:t>
      </w:r>
      <w:r w:rsidRPr="00662712">
        <w:rPr>
          <w:rFonts w:ascii="宋体" w:eastAsia="宋体" w:hAnsi="Times New Roman" w:cs="宋体" w:hint="eastAsia"/>
          <w:color w:val="000000"/>
          <w:spacing w:val="4"/>
          <w:kern w:val="0"/>
          <w:sz w:val="19"/>
          <w:szCs w:val="19"/>
        </w:rPr>
        <w:t>＞</w:t>
      </w:r>
      <w:r w:rsidRPr="00662712">
        <w:rPr>
          <w:rFonts w:ascii="Times New Roman" w:eastAsia="方正小标宋_GBK" w:hAnsi="Times New Roman" w:cs="Times New Roman"/>
          <w:color w:val="000000"/>
          <w:spacing w:val="4"/>
          <w:kern w:val="0"/>
          <w:sz w:val="19"/>
          <w:szCs w:val="19"/>
        </w:rPr>
        <w:t>0.05). After correction, GI, PLI and SBI in the two groups were significantly higher than those before treatment, but the invisible group was lower than the traditional group (P</w:t>
      </w:r>
      <w:r w:rsidRPr="00662712">
        <w:rPr>
          <w:rFonts w:ascii="宋体" w:eastAsia="宋体" w:hAnsi="Times New Roman" w:cs="宋体" w:hint="eastAsia"/>
          <w:color w:val="000000"/>
          <w:spacing w:val="4"/>
          <w:kern w:val="0"/>
          <w:sz w:val="19"/>
          <w:szCs w:val="19"/>
        </w:rPr>
        <w:t>＜</w:t>
      </w:r>
      <w:r w:rsidRPr="00662712">
        <w:rPr>
          <w:rFonts w:ascii="Times New Roman" w:eastAsia="方正小标宋_GBK" w:hAnsi="Times New Roman" w:cs="Times New Roman"/>
          <w:color w:val="000000"/>
          <w:spacing w:val="4"/>
          <w:kern w:val="0"/>
          <w:sz w:val="19"/>
          <w:szCs w:val="19"/>
        </w:rPr>
        <w:t>0.05). The level of SPD decreased, and the level of SPD in invisible group was lower than that in t</w:t>
      </w:r>
      <w:r w:rsidRPr="00662712">
        <w:rPr>
          <w:rFonts w:ascii="Times New Roman" w:eastAsia="方正小标宋_GBK" w:hAnsi="Times New Roman" w:cs="Times New Roman"/>
          <w:color w:val="000000"/>
          <w:kern w:val="0"/>
          <w:sz w:val="19"/>
          <w:szCs w:val="19"/>
        </w:rPr>
        <w:t>raditional group (P</w:t>
      </w:r>
      <w:r w:rsidRPr="00662712">
        <w:rPr>
          <w:rFonts w:ascii="宋体" w:eastAsia="宋体" w:hAnsi="Times New Roman" w:cs="宋体" w:hint="eastAsia"/>
          <w:color w:val="000000"/>
          <w:kern w:val="0"/>
          <w:sz w:val="19"/>
          <w:szCs w:val="19"/>
        </w:rPr>
        <w:t>＜</w:t>
      </w:r>
      <w:r w:rsidRPr="00662712">
        <w:rPr>
          <w:rFonts w:ascii="Times New Roman" w:eastAsia="方正小标宋_GBK" w:hAnsi="Times New Roman" w:cs="Times New Roman"/>
          <w:color w:val="000000"/>
          <w:kern w:val="0"/>
          <w:sz w:val="19"/>
          <w:szCs w:val="19"/>
        </w:rPr>
        <w:t xml:space="preserve">0.05). Multivariate Logistic regression analysis showed that the monthly family income </w:t>
      </w:r>
      <w:r w:rsidRPr="00662712">
        <w:rPr>
          <w:rFonts w:ascii="宋体" w:eastAsia="宋体" w:hAnsi="Times New Roman" w:cs="宋体" w:hint="eastAsia"/>
          <w:color w:val="000000"/>
          <w:kern w:val="0"/>
          <w:sz w:val="19"/>
          <w:szCs w:val="19"/>
        </w:rPr>
        <w:t>＞</w:t>
      </w:r>
      <w:r w:rsidRPr="00662712">
        <w:rPr>
          <w:rFonts w:ascii="Times New Roman" w:eastAsia="方正小标宋_GBK" w:hAnsi="Times New Roman" w:cs="Times New Roman"/>
          <w:color w:val="000000"/>
          <w:kern w:val="0"/>
          <w:sz w:val="19"/>
          <w:szCs w:val="19"/>
        </w:rPr>
        <w:t>6 000 yuan/month and good doctor's trust were all the promoting factors of patients' acceptance of bracketless invisible appliance (OR=3.459,2.273, P</w:t>
      </w:r>
      <w:r w:rsidRPr="00662712">
        <w:rPr>
          <w:rFonts w:ascii="宋体" w:eastAsia="宋体" w:hAnsi="Times New Roman" w:cs="宋体" w:hint="eastAsia"/>
          <w:color w:val="000000"/>
          <w:kern w:val="0"/>
          <w:sz w:val="19"/>
          <w:szCs w:val="19"/>
        </w:rPr>
        <w:t>＜</w:t>
      </w:r>
      <w:r w:rsidRPr="00662712">
        <w:rPr>
          <w:rFonts w:ascii="Times New Roman" w:eastAsia="方正小标宋_GBK" w:hAnsi="Times New Roman" w:cs="Times New Roman"/>
          <w:color w:val="000000"/>
          <w:kern w:val="0"/>
          <w:sz w:val="19"/>
          <w:szCs w:val="19"/>
        </w:rPr>
        <w:t>0.05</w:t>
      </w:r>
      <w:r w:rsidRPr="00662712">
        <w:rPr>
          <w:rFonts w:ascii="宋体" w:eastAsia="宋体" w:hAnsi="Times New Roman" w:cs="宋体" w:hint="eastAsia"/>
          <w:color w:val="000000"/>
          <w:kern w:val="0"/>
          <w:sz w:val="19"/>
          <w:szCs w:val="19"/>
        </w:rPr>
        <w:t>）</w:t>
      </w:r>
      <w:r w:rsidRPr="00662712">
        <w:rPr>
          <w:rFonts w:ascii="Times New Roman" w:eastAsia="方正小标宋_GBK" w:hAnsi="Times New Roman" w:cs="Times New Roman"/>
          <w:color w:val="000000"/>
          <w:kern w:val="0"/>
          <w:sz w:val="19"/>
          <w:szCs w:val="19"/>
        </w:rPr>
        <w:t xml:space="preserve">. </w:t>
      </w:r>
      <w:r w:rsidRPr="00662712">
        <w:rPr>
          <w:rFonts w:ascii="Didot HTF-B06-" w:eastAsia="方正小标宋_GBK" w:hAnsi="Didot HTF-B06-" w:cs="Didot HTF-B06-"/>
          <w:b/>
          <w:bCs/>
          <w:color w:val="000000"/>
          <w:kern w:val="0"/>
          <w:sz w:val="19"/>
        </w:rPr>
        <w:t xml:space="preserve">Conclusion </w:t>
      </w:r>
      <w:r w:rsidRPr="00662712">
        <w:rPr>
          <w:rFonts w:ascii="Times New Roman" w:eastAsia="方正小标宋_GBK" w:hAnsi="Times New Roman" w:cs="Times New Roman"/>
          <w:color w:val="000000"/>
          <w:kern w:val="0"/>
          <w:sz w:val="19"/>
          <w:szCs w:val="19"/>
        </w:rPr>
        <w:t xml:space="preserve"> The righting time of tilted teeth and the twisting time of displaced teeth in bracket-free invisible orthodontic treatment is prolonged, but it can effectively improve the periodontal health index of patients. However, the monthly income of patients and their trust in doctors may affect their acceptance of bracket-free invisible appliances. </w:t>
      </w:r>
    </w:p>
    <w:p w:rsidR="00662712" w:rsidRPr="00662712" w:rsidRDefault="00662712" w:rsidP="00662712">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662712">
        <w:rPr>
          <w:rFonts w:ascii="Didot HTF-B06-" w:eastAsia="方正小标宋_GBK" w:hAnsi="Didot HTF-B06-" w:cs="Didot HTF-B06-"/>
          <w:b/>
          <w:bCs/>
          <w:color w:val="000000"/>
          <w:kern w:val="0"/>
          <w:sz w:val="19"/>
        </w:rPr>
        <w:t xml:space="preserve">Key words: </w:t>
      </w:r>
      <w:r w:rsidRPr="00662712">
        <w:rPr>
          <w:rFonts w:ascii="Times New Roman" w:eastAsia="方正小标宋_GBK" w:hAnsi="Times New Roman" w:cs="Times New Roman"/>
          <w:color w:val="000000"/>
          <w:kern w:val="0"/>
          <w:sz w:val="19"/>
          <w:szCs w:val="19"/>
        </w:rPr>
        <w:t>bracket-free; invisible; correction; periodontal health indexs; acceptance degree; influencing factors</w:t>
      </w:r>
    </w:p>
    <w:p w:rsidR="00392B23" w:rsidRPr="00662712" w:rsidRDefault="00392B23" w:rsidP="00662712"/>
    <w:sectPr w:rsidR="00392B23" w:rsidRPr="00662712" w:rsidSect="00526CC8">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DF1" w:rsidRDefault="00CB2DF1" w:rsidP="00E172F8">
      <w:r>
        <w:separator/>
      </w:r>
    </w:p>
  </w:endnote>
  <w:endnote w:type="continuationSeparator" w:id="0">
    <w:p w:rsidR="00CB2DF1" w:rsidRDefault="00CB2DF1"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DF1" w:rsidRDefault="00CB2DF1" w:rsidP="00E172F8">
      <w:r>
        <w:separator/>
      </w:r>
    </w:p>
  </w:footnote>
  <w:footnote w:type="continuationSeparator" w:id="0">
    <w:p w:rsidR="00CB2DF1" w:rsidRDefault="00CB2DF1"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008DF"/>
    <w:rsid w:val="0009744A"/>
    <w:rsid w:val="000A09ED"/>
    <w:rsid w:val="000B0FC9"/>
    <w:rsid w:val="000D1F46"/>
    <w:rsid w:val="000D5CC8"/>
    <w:rsid w:val="000E7F96"/>
    <w:rsid w:val="001418BF"/>
    <w:rsid w:val="0014482C"/>
    <w:rsid w:val="00181C4C"/>
    <w:rsid w:val="001C4414"/>
    <w:rsid w:val="001D07C9"/>
    <w:rsid w:val="001D5A57"/>
    <w:rsid w:val="001E2363"/>
    <w:rsid w:val="00240761"/>
    <w:rsid w:val="0026534D"/>
    <w:rsid w:val="00267531"/>
    <w:rsid w:val="00276603"/>
    <w:rsid w:val="00277B52"/>
    <w:rsid w:val="00284A2C"/>
    <w:rsid w:val="0029663D"/>
    <w:rsid w:val="002C3C2E"/>
    <w:rsid w:val="002C72E1"/>
    <w:rsid w:val="0036779F"/>
    <w:rsid w:val="00386229"/>
    <w:rsid w:val="00392B23"/>
    <w:rsid w:val="003A6FBB"/>
    <w:rsid w:val="003C1421"/>
    <w:rsid w:val="003C3A27"/>
    <w:rsid w:val="003C612F"/>
    <w:rsid w:val="003D45C9"/>
    <w:rsid w:val="004028F3"/>
    <w:rsid w:val="0041270F"/>
    <w:rsid w:val="00455160"/>
    <w:rsid w:val="00497DE0"/>
    <w:rsid w:val="004A6544"/>
    <w:rsid w:val="004A7BC1"/>
    <w:rsid w:val="004D17B6"/>
    <w:rsid w:val="005147FF"/>
    <w:rsid w:val="00555859"/>
    <w:rsid w:val="005C657E"/>
    <w:rsid w:val="005E4934"/>
    <w:rsid w:val="005F513F"/>
    <w:rsid w:val="006236E2"/>
    <w:rsid w:val="00661A0F"/>
    <w:rsid w:val="00662712"/>
    <w:rsid w:val="00687870"/>
    <w:rsid w:val="006D3B77"/>
    <w:rsid w:val="006D446A"/>
    <w:rsid w:val="007B6A4D"/>
    <w:rsid w:val="007C2FD9"/>
    <w:rsid w:val="007E4364"/>
    <w:rsid w:val="00817965"/>
    <w:rsid w:val="008323CD"/>
    <w:rsid w:val="008749F3"/>
    <w:rsid w:val="008C78FD"/>
    <w:rsid w:val="008D029A"/>
    <w:rsid w:val="008E4876"/>
    <w:rsid w:val="0093010C"/>
    <w:rsid w:val="009456A7"/>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017CF"/>
    <w:rsid w:val="00C64F57"/>
    <w:rsid w:val="00C851CA"/>
    <w:rsid w:val="00CA391F"/>
    <w:rsid w:val="00CA3EA1"/>
    <w:rsid w:val="00CB2DF1"/>
    <w:rsid w:val="00CD0A61"/>
    <w:rsid w:val="00CE5147"/>
    <w:rsid w:val="00D25704"/>
    <w:rsid w:val="00D52EFA"/>
    <w:rsid w:val="00D777F9"/>
    <w:rsid w:val="00DC05D5"/>
    <w:rsid w:val="00DD5A8C"/>
    <w:rsid w:val="00DF0FF2"/>
    <w:rsid w:val="00E06821"/>
    <w:rsid w:val="00E17064"/>
    <w:rsid w:val="00E172F8"/>
    <w:rsid w:val="00E87F3B"/>
    <w:rsid w:val="00EB474A"/>
    <w:rsid w:val="00EF4574"/>
    <w:rsid w:val="00F122B2"/>
    <w:rsid w:val="00F4563C"/>
    <w:rsid w:val="00F5463E"/>
    <w:rsid w:val="00F609B4"/>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1</Pages>
  <Words>460</Words>
  <Characters>2626</Characters>
  <Application>Microsoft Office Word</Application>
  <DocSecurity>0</DocSecurity>
  <Lines>21</Lines>
  <Paragraphs>6</Paragraphs>
  <ScaleCrop>false</ScaleCrop>
  <Company>Microsoft</Company>
  <LinksUpToDate>false</LinksUpToDate>
  <CharactersWithSpaces>3080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81</cp:revision>
  <dcterms:created xsi:type="dcterms:W3CDTF">2022-01-17T03:25:00Z</dcterms:created>
  <dcterms:modified xsi:type="dcterms:W3CDTF">2022-02-10T11:56:00Z</dcterms:modified>
</cp:coreProperties>
</file>