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1123D" w14:textId="77777777" w:rsidR="0052503D" w:rsidRDefault="0052503D" w:rsidP="0052503D">
      <w:pPr>
        <w:pStyle w:val="a3"/>
        <w:ind w:firstLine="0"/>
        <w:jc w:val="center"/>
        <w:rPr>
          <w:rFonts w:ascii="方正小标宋_GBK" w:eastAsia="方正小标宋_GBK" w:cs="方正小标宋_GBK"/>
          <w:color w:val="920883"/>
          <w:sz w:val="30"/>
          <w:szCs w:val="30"/>
        </w:rPr>
      </w:pPr>
      <w:r>
        <w:rPr>
          <w:rFonts w:ascii="方正小标宋_GBK" w:eastAsia="方正小标宋_GBK" w:cs="方正小标宋_GBK" w:hint="eastAsia"/>
          <w:color w:val="920883"/>
          <w:sz w:val="30"/>
          <w:szCs w:val="30"/>
        </w:rPr>
        <w:t>二甲双胍联合艾拉</w:t>
      </w:r>
      <w:r>
        <w:rPr>
          <w:rFonts w:ascii="方正小标宋_GBK" w:eastAsia="方正小标宋_GBK" w:cs="方正小标宋_GBK"/>
          <w:color w:val="920883"/>
          <w:sz w:val="30"/>
          <w:szCs w:val="30"/>
        </w:rPr>
        <w:t>-</w:t>
      </w:r>
      <w:r>
        <w:rPr>
          <w:rFonts w:ascii="方正小标宋_GBK" w:eastAsia="方正小标宋_GBK" w:cs="方正小标宋_GBK" w:hint="eastAsia"/>
          <w:color w:val="920883"/>
          <w:sz w:val="30"/>
          <w:szCs w:val="30"/>
        </w:rPr>
        <w:t>光动力疗法治疗面部中重度痤疮临床评价</w:t>
      </w:r>
    </w:p>
    <w:p w14:paraId="515572A5" w14:textId="77777777" w:rsidR="0052503D" w:rsidRDefault="0052503D" w:rsidP="0052503D">
      <w:pPr>
        <w:pStyle w:val="a3"/>
        <w:ind w:firstLine="0"/>
        <w:jc w:val="center"/>
        <w:rPr>
          <w:rFonts w:ascii="方正楷体_GBK" w:eastAsia="方正楷体_GBK" w:cs="方正楷体_GBK"/>
          <w:sz w:val="24"/>
          <w:szCs w:val="24"/>
        </w:rPr>
      </w:pPr>
      <w:r>
        <w:rPr>
          <w:rFonts w:ascii="方正楷体_GBK" w:eastAsia="方正楷体_GBK" w:cs="方正楷体_GBK" w:hint="eastAsia"/>
          <w:sz w:val="24"/>
          <w:szCs w:val="24"/>
        </w:rPr>
        <w:t>李国英，郭文琦</w:t>
      </w:r>
    </w:p>
    <w:p w14:paraId="561BFE87" w14:textId="77777777" w:rsidR="0052503D" w:rsidRDefault="0052503D" w:rsidP="0052503D">
      <w:pPr>
        <w:pStyle w:val="a3"/>
        <w:ind w:firstLine="0"/>
        <w:jc w:val="center"/>
        <w:rPr>
          <w:rFonts w:ascii="方正楷体_GBK" w:eastAsia="方正楷体_GBK" w:cs="方正楷体_GBK"/>
        </w:rPr>
      </w:pPr>
      <w:r>
        <w:rPr>
          <w:rFonts w:ascii="方正楷体_GBK" w:eastAsia="方正楷体_GBK" w:cs="方正楷体_GBK" w:hint="eastAsia"/>
        </w:rPr>
        <w:t>（山东省宁津县人民医院皮肤科</w:t>
      </w:r>
      <w:r>
        <w:rPr>
          <w:rFonts w:ascii="方正楷体_GBK" w:eastAsia="方正楷体_GBK" w:cs="方正楷体_GBK"/>
        </w:rPr>
        <w:t xml:space="preserve">  </w:t>
      </w:r>
      <w:r>
        <w:rPr>
          <w:rFonts w:ascii="方正楷体_GBK" w:eastAsia="方正楷体_GBK" w:cs="方正楷体_GBK" w:hint="eastAsia"/>
        </w:rPr>
        <w:t>山东</w:t>
      </w:r>
      <w:r>
        <w:rPr>
          <w:rFonts w:ascii="方正楷体_GBK" w:eastAsia="方正楷体_GBK" w:cs="方正楷体_GBK"/>
        </w:rPr>
        <w:t xml:space="preserve"> </w:t>
      </w:r>
      <w:r>
        <w:rPr>
          <w:rFonts w:ascii="方正楷体_GBK" w:eastAsia="方正楷体_GBK" w:cs="方正楷体_GBK" w:hint="eastAsia"/>
        </w:rPr>
        <w:t>德州</w:t>
      </w:r>
      <w:r>
        <w:rPr>
          <w:rFonts w:ascii="方正楷体_GBK" w:eastAsia="方正楷体_GBK" w:cs="方正楷体_GBK"/>
        </w:rPr>
        <w:t xml:space="preserve">  253400</w:t>
      </w:r>
      <w:r>
        <w:rPr>
          <w:rFonts w:ascii="方正楷体_GBK" w:eastAsia="方正楷体_GBK" w:cs="方正楷体_GBK" w:hint="eastAsia"/>
        </w:rPr>
        <w:t>）</w:t>
      </w:r>
    </w:p>
    <w:p w14:paraId="0B00720A" w14:textId="77777777" w:rsidR="0052503D" w:rsidRDefault="0052503D" w:rsidP="0052503D">
      <w:pPr>
        <w:pStyle w:val="a4"/>
      </w:pPr>
      <w:r>
        <w:rPr>
          <w:rStyle w:val="9"/>
        </w:rPr>
        <w:t>[</w:t>
      </w:r>
      <w:r>
        <w:rPr>
          <w:rStyle w:val="9"/>
          <w:rFonts w:hint="eastAsia"/>
        </w:rPr>
        <w:t>摘要</w:t>
      </w:r>
      <w:r>
        <w:rPr>
          <w:rStyle w:val="9"/>
        </w:rPr>
        <w:t>]</w:t>
      </w:r>
      <w:r>
        <w:rPr>
          <w:rStyle w:val="9"/>
          <w:rFonts w:hint="eastAsia"/>
        </w:rPr>
        <w:t>目的：</w:t>
      </w:r>
      <w:r>
        <w:rPr>
          <w:rFonts w:hint="eastAsia"/>
        </w:rPr>
        <w:t>分析二甲双胍联合艾拉</w:t>
      </w:r>
      <w:r>
        <w:t>-</w:t>
      </w:r>
      <w:r>
        <w:rPr>
          <w:rFonts w:hint="eastAsia"/>
        </w:rPr>
        <w:t>光动力疗法</w:t>
      </w:r>
      <w:r>
        <w:t>(5-aminolaevulinic acid- photodynamic therapy,ALA-PDT)</w:t>
      </w:r>
      <w:r>
        <w:rPr>
          <w:rFonts w:hint="eastAsia"/>
        </w:rPr>
        <w:t>治疗面部中重度痤疮的疗效及安全性。</w:t>
      </w:r>
      <w:r>
        <w:rPr>
          <w:rStyle w:val="9"/>
          <w:rFonts w:hint="eastAsia"/>
        </w:rPr>
        <w:t>方法：</w:t>
      </w:r>
      <w:r>
        <w:rPr>
          <w:rFonts w:hint="eastAsia"/>
        </w:rPr>
        <w:t>按照随机数字表法将</w:t>
      </w:r>
      <w:r>
        <w:t>2019</w:t>
      </w:r>
      <w:r>
        <w:rPr>
          <w:rFonts w:hint="eastAsia"/>
        </w:rPr>
        <w:t>年</w:t>
      </w:r>
      <w:r>
        <w:t>1</w:t>
      </w:r>
      <w:r>
        <w:rPr>
          <w:rFonts w:hint="eastAsia"/>
        </w:rPr>
        <w:t>月</w:t>
      </w:r>
      <w:r>
        <w:t>-12</w:t>
      </w:r>
      <w:r>
        <w:rPr>
          <w:rFonts w:hint="eastAsia"/>
        </w:rPr>
        <w:t>月笔者医院收治的</w:t>
      </w:r>
      <w:r>
        <w:t>120</w:t>
      </w:r>
      <w:r>
        <w:rPr>
          <w:rFonts w:hint="eastAsia"/>
        </w:rPr>
        <w:t>例面部中重度痤疮患者分为对照组与观察组，每组</w:t>
      </w:r>
      <w:r>
        <w:t>60</w:t>
      </w:r>
      <w:r>
        <w:rPr>
          <w:rFonts w:hint="eastAsia"/>
        </w:rPr>
        <w:t>例。对照组采用</w:t>
      </w:r>
      <w:r>
        <w:t>ALA-PDT</w:t>
      </w:r>
      <w:r>
        <w:rPr>
          <w:rFonts w:hint="eastAsia"/>
        </w:rPr>
        <w:t>治疗，每周</w:t>
      </w:r>
      <w:r>
        <w:t>1</w:t>
      </w:r>
      <w:r>
        <w:rPr>
          <w:rFonts w:hint="eastAsia"/>
        </w:rPr>
        <w:t>次；观察组采用二甲双胍片</w:t>
      </w:r>
      <w:r>
        <w:t>(850</w:t>
      </w:r>
      <w:r>
        <w:rPr>
          <w:rFonts w:ascii="MS Gothic" w:eastAsia="MS Gothic" w:hAnsi="MS Gothic" w:cs="MS Gothic" w:hint="eastAsia"/>
        </w:rPr>
        <w:t> </w:t>
      </w:r>
      <w:r>
        <w:t>mg/d)</w:t>
      </w:r>
      <w:r>
        <w:rPr>
          <w:rFonts w:hint="eastAsia"/>
        </w:rPr>
        <w:t>联合</w:t>
      </w:r>
      <w:r>
        <w:t>ALA-PDT</w:t>
      </w:r>
      <w:r>
        <w:rPr>
          <w:rFonts w:hint="eastAsia"/>
        </w:rPr>
        <w:t>治疗</w:t>
      </w:r>
      <w:r>
        <w:t>(</w:t>
      </w:r>
      <w:r>
        <w:rPr>
          <w:rFonts w:hint="eastAsia"/>
        </w:rPr>
        <w:t>每</w:t>
      </w:r>
      <w:r>
        <w:t>2</w:t>
      </w:r>
      <w:r>
        <w:rPr>
          <w:rFonts w:hint="eastAsia"/>
        </w:rPr>
        <w:t>周</w:t>
      </w:r>
      <w:r>
        <w:t>1</w:t>
      </w:r>
      <w:r>
        <w:rPr>
          <w:rFonts w:hint="eastAsia"/>
        </w:rPr>
        <w:t>次</w:t>
      </w:r>
      <w:r>
        <w:t>)</w:t>
      </w:r>
      <w:r>
        <w:rPr>
          <w:rFonts w:hint="eastAsia"/>
        </w:rPr>
        <w:t>，均连续治疗</w:t>
      </w:r>
      <w:r>
        <w:t>8</w:t>
      </w:r>
      <w:r>
        <w:rPr>
          <w:rFonts w:hint="eastAsia"/>
        </w:rPr>
        <w:t>周。观察两组的治疗总有效率、皮损数量、痤疮特异性生活质量问卷</w:t>
      </w:r>
      <w:r>
        <w:t>(Acne-specific quality of life questionnaire,</w:t>
      </w:r>
      <w:r>
        <w:rPr>
          <w:spacing w:val="7"/>
        </w:rPr>
        <w:t xml:space="preserve"> Acne-Qol)</w:t>
      </w:r>
      <w:r>
        <w:rPr>
          <w:rFonts w:hint="eastAsia"/>
          <w:spacing w:val="7"/>
        </w:rPr>
        <w:t>评分及不良反应情况。</w:t>
      </w:r>
      <w:r>
        <w:rPr>
          <w:rStyle w:val="9"/>
          <w:rFonts w:hint="eastAsia"/>
          <w:spacing w:val="7"/>
        </w:rPr>
        <w:t>结果：</w:t>
      </w:r>
      <w:r>
        <w:rPr>
          <w:rFonts w:hint="eastAsia"/>
          <w:spacing w:val="7"/>
        </w:rPr>
        <w:t>观察组与对照组的治疗有效率分别为</w:t>
      </w:r>
      <w:r>
        <w:rPr>
          <w:spacing w:val="7"/>
        </w:rPr>
        <w:t>95.00%</w:t>
      </w:r>
      <w:r>
        <w:rPr>
          <w:rFonts w:hint="eastAsia"/>
          <w:spacing w:val="7"/>
        </w:rPr>
        <w:t>、</w:t>
      </w:r>
      <w:r>
        <w:rPr>
          <w:spacing w:val="7"/>
        </w:rPr>
        <w:t>81.67%</w:t>
      </w:r>
      <w:r>
        <w:rPr>
          <w:rFonts w:hint="eastAsia"/>
          <w:spacing w:val="7"/>
        </w:rPr>
        <w:t>，观察组明显</w:t>
      </w:r>
      <w:r>
        <w:rPr>
          <w:rFonts w:hint="eastAsia"/>
          <w:spacing w:val="11"/>
        </w:rPr>
        <w:t>高于对照组</w:t>
      </w:r>
      <w:r>
        <w:rPr>
          <w:spacing w:val="11"/>
        </w:rPr>
        <w:t>,</w:t>
      </w:r>
      <w:r>
        <w:rPr>
          <w:rFonts w:hint="eastAsia"/>
          <w:spacing w:val="11"/>
        </w:rPr>
        <w:t>差异有统计学意义</w:t>
      </w:r>
      <w:r>
        <w:rPr>
          <w:spacing w:val="11"/>
        </w:rPr>
        <w:t>(P</w:t>
      </w:r>
      <w:r>
        <w:rPr>
          <w:rFonts w:hint="eastAsia"/>
          <w:spacing w:val="11"/>
        </w:rPr>
        <w:t>＜</w:t>
      </w:r>
      <w:r>
        <w:rPr>
          <w:spacing w:val="11"/>
        </w:rPr>
        <w:t>0.05)</w:t>
      </w:r>
      <w:r>
        <w:rPr>
          <w:rFonts w:hint="eastAsia"/>
          <w:spacing w:val="11"/>
        </w:rPr>
        <w:t>。治疗后，两组的皮损数量均明显减少</w:t>
      </w:r>
      <w:r>
        <w:rPr>
          <w:spacing w:val="11"/>
        </w:rPr>
        <w:t>(P</w:t>
      </w:r>
      <w:r>
        <w:rPr>
          <w:rFonts w:hint="eastAsia"/>
          <w:spacing w:val="11"/>
        </w:rPr>
        <w:t>＜</w:t>
      </w:r>
      <w:r>
        <w:rPr>
          <w:spacing w:val="11"/>
        </w:rPr>
        <w:t>0.05)</w:t>
      </w:r>
      <w:r>
        <w:rPr>
          <w:rFonts w:hint="eastAsia"/>
          <w:spacing w:val="11"/>
        </w:rPr>
        <w:t>，观察组明显少于对照组，差异有统计学意义</w:t>
      </w:r>
      <w:r>
        <w:rPr>
          <w:spacing w:val="11"/>
        </w:rPr>
        <w:t>(</w:t>
      </w:r>
      <w:r>
        <w:rPr>
          <w:spacing w:val="4"/>
        </w:rPr>
        <w:t>P</w:t>
      </w:r>
      <w:r>
        <w:rPr>
          <w:rFonts w:hint="eastAsia"/>
          <w:spacing w:val="4"/>
        </w:rPr>
        <w:t>＜</w:t>
      </w:r>
      <w:r>
        <w:rPr>
          <w:spacing w:val="4"/>
        </w:rPr>
        <w:t>0.05)</w:t>
      </w:r>
      <w:r>
        <w:rPr>
          <w:rFonts w:hint="eastAsia"/>
          <w:spacing w:val="4"/>
        </w:rPr>
        <w:t>；两组的各项</w:t>
      </w:r>
      <w:r>
        <w:rPr>
          <w:spacing w:val="4"/>
        </w:rPr>
        <w:t>Acne-Qol</w:t>
      </w:r>
      <w:r>
        <w:rPr>
          <w:rFonts w:hint="eastAsia"/>
          <w:spacing w:val="4"/>
        </w:rPr>
        <w:t>评分均明显降低，观察组明显少于对照组，差异均有统计学意义</w:t>
      </w:r>
      <w:r>
        <w:rPr>
          <w:spacing w:val="4"/>
        </w:rPr>
        <w:t>(P</w:t>
      </w:r>
      <w:r>
        <w:rPr>
          <w:rFonts w:hint="eastAsia"/>
          <w:spacing w:val="4"/>
        </w:rPr>
        <w:t>＜</w:t>
      </w:r>
      <w:r>
        <w:rPr>
          <w:spacing w:val="4"/>
        </w:rPr>
        <w:t>0.05)</w:t>
      </w:r>
      <w:r>
        <w:rPr>
          <w:rFonts w:hint="eastAsia"/>
        </w:rPr>
        <w:t>。两组不良反应发生率比较，差异无统计学意义</w:t>
      </w:r>
      <w:r>
        <w:t>(P</w:t>
      </w:r>
      <w:r>
        <w:rPr>
          <w:rFonts w:hint="eastAsia"/>
        </w:rPr>
        <w:t>＞</w:t>
      </w:r>
      <w:r>
        <w:t>0.05)</w:t>
      </w:r>
      <w:r>
        <w:rPr>
          <w:rFonts w:hint="eastAsia"/>
        </w:rPr>
        <w:t>。</w:t>
      </w:r>
      <w:r>
        <w:rPr>
          <w:rStyle w:val="9"/>
          <w:rFonts w:hint="eastAsia"/>
        </w:rPr>
        <w:t>结论：</w:t>
      </w:r>
      <w:r>
        <w:rPr>
          <w:rFonts w:hint="eastAsia"/>
        </w:rPr>
        <w:t>二甲双胍联合</w:t>
      </w:r>
      <w:r>
        <w:t>ALA-PDT</w:t>
      </w:r>
      <w:r>
        <w:rPr>
          <w:rFonts w:hint="eastAsia"/>
        </w:rPr>
        <w:t>治疗面部中重度痤疮疗效好，安全性高，能够明显提高患者的生活质量。</w:t>
      </w:r>
    </w:p>
    <w:p w14:paraId="2B2399D0" w14:textId="77777777" w:rsidR="0052503D" w:rsidRDefault="0052503D" w:rsidP="0052503D">
      <w:pPr>
        <w:pStyle w:val="a4"/>
      </w:pPr>
      <w:r>
        <w:rPr>
          <w:rStyle w:val="9"/>
        </w:rPr>
        <w:t>[</w:t>
      </w:r>
      <w:r>
        <w:rPr>
          <w:rStyle w:val="9"/>
          <w:rFonts w:hint="eastAsia"/>
        </w:rPr>
        <w:t>关键词</w:t>
      </w:r>
      <w:r>
        <w:rPr>
          <w:rStyle w:val="9"/>
        </w:rPr>
        <w:t>]</w:t>
      </w:r>
      <w:r>
        <w:rPr>
          <w:rFonts w:hint="eastAsia"/>
        </w:rPr>
        <w:t>中重度痤疮；艾拉</w:t>
      </w:r>
      <w:r>
        <w:t>-</w:t>
      </w:r>
      <w:r>
        <w:rPr>
          <w:rFonts w:hint="eastAsia"/>
        </w:rPr>
        <w:t>光动力疗法；二甲双胍；生活质量</w:t>
      </w:r>
    </w:p>
    <w:p w14:paraId="0FD0928A" w14:textId="77777777" w:rsidR="0052503D" w:rsidRDefault="0052503D" w:rsidP="0052503D">
      <w:pPr>
        <w:pStyle w:val="a4"/>
      </w:pPr>
      <w:r>
        <w:rPr>
          <w:rStyle w:val="9"/>
        </w:rPr>
        <w:t>[</w:t>
      </w:r>
      <w:r>
        <w:rPr>
          <w:rStyle w:val="9"/>
          <w:rFonts w:hint="eastAsia"/>
        </w:rPr>
        <w:t>中图分类号</w:t>
      </w:r>
      <w:r>
        <w:rPr>
          <w:rStyle w:val="9"/>
        </w:rPr>
        <w:t>]</w:t>
      </w:r>
      <w:r>
        <w:t>R758.73</w:t>
      </w:r>
      <w:r>
        <w:rPr>
          <w:vertAlign w:val="superscript"/>
        </w:rPr>
        <w:t>+</w:t>
      </w:r>
      <w:r>
        <w:t xml:space="preserve">3    </w:t>
      </w:r>
      <w:r>
        <w:rPr>
          <w:rStyle w:val="9"/>
        </w:rPr>
        <w:t>[</w:t>
      </w:r>
      <w:r>
        <w:rPr>
          <w:rStyle w:val="9"/>
          <w:rFonts w:hint="eastAsia"/>
        </w:rPr>
        <w:t>文献标志码</w:t>
      </w:r>
      <w:r>
        <w:rPr>
          <w:rStyle w:val="9"/>
        </w:rPr>
        <w:t>]</w:t>
      </w:r>
      <w:r>
        <w:t xml:space="preserve">A   </w:t>
      </w:r>
      <w:r>
        <w:rPr>
          <w:rStyle w:val="9"/>
        </w:rPr>
        <w:t xml:space="preserve"> [</w:t>
      </w:r>
      <w:r>
        <w:rPr>
          <w:rStyle w:val="9"/>
          <w:rFonts w:hint="eastAsia"/>
        </w:rPr>
        <w:t>文章编号</w:t>
      </w:r>
      <w:r>
        <w:rPr>
          <w:rStyle w:val="9"/>
        </w:rPr>
        <w:t>]</w:t>
      </w:r>
      <w:r>
        <w:t>1008-6455</w:t>
      </w:r>
      <w:r>
        <w:rPr>
          <w:rFonts w:hint="eastAsia"/>
        </w:rPr>
        <w:t>（</w:t>
      </w:r>
      <w:r>
        <w:t>2022</w:t>
      </w:r>
      <w:r>
        <w:rPr>
          <w:rFonts w:hint="eastAsia"/>
        </w:rPr>
        <w:t>）</w:t>
      </w:r>
      <w:r>
        <w:t>02-0067-03</w:t>
      </w:r>
    </w:p>
    <w:p w14:paraId="4F9260AB" w14:textId="77777777" w:rsidR="0052503D" w:rsidRDefault="0052503D" w:rsidP="0052503D">
      <w:pPr>
        <w:pStyle w:val="a5"/>
      </w:pPr>
    </w:p>
    <w:p w14:paraId="3D93643A" w14:textId="77777777" w:rsidR="0052503D" w:rsidRPr="0052503D" w:rsidRDefault="0052503D" w:rsidP="0052503D">
      <w:pPr>
        <w:pStyle w:val="a5"/>
        <w:rPr>
          <w:lang w:val="en-US"/>
        </w:rPr>
      </w:pPr>
      <w:r w:rsidRPr="0052503D">
        <w:rPr>
          <w:lang w:val="en-US"/>
        </w:rPr>
        <w:t xml:space="preserve">Clinical Evaluation of Metformin Combined with ALA-PDT on Facial </w:t>
      </w:r>
    </w:p>
    <w:p w14:paraId="5A78D252" w14:textId="77777777" w:rsidR="0052503D" w:rsidRPr="0052503D" w:rsidRDefault="0052503D" w:rsidP="0052503D">
      <w:pPr>
        <w:pStyle w:val="a5"/>
        <w:rPr>
          <w:lang w:val="en-US"/>
        </w:rPr>
      </w:pPr>
      <w:r w:rsidRPr="0052503D">
        <w:rPr>
          <w:lang w:val="en-US"/>
        </w:rPr>
        <w:t>Moderate-severe acne</w:t>
      </w:r>
    </w:p>
    <w:p w14:paraId="6829780A" w14:textId="77777777" w:rsidR="0052503D" w:rsidRPr="0052503D" w:rsidRDefault="0052503D" w:rsidP="0052503D">
      <w:pPr>
        <w:pStyle w:val="a6"/>
        <w:rPr>
          <w:lang w:val="en-US"/>
        </w:rPr>
      </w:pPr>
      <w:r w:rsidRPr="0052503D">
        <w:rPr>
          <w:lang w:val="en-US"/>
        </w:rPr>
        <w:t>LI Guoying, GUO Wenqi</w:t>
      </w:r>
    </w:p>
    <w:p w14:paraId="19EF1930" w14:textId="77777777" w:rsidR="0052503D" w:rsidRPr="0052503D" w:rsidRDefault="0052503D" w:rsidP="0052503D">
      <w:pPr>
        <w:pStyle w:val="a7"/>
        <w:rPr>
          <w:lang w:val="en-US"/>
        </w:rPr>
      </w:pPr>
      <w:r w:rsidRPr="0052503D">
        <w:rPr>
          <w:lang w:val="en-US"/>
        </w:rPr>
        <w:t>(Department of Dermatology, the People's Hospital of Ningjin County, Dezhou 253400,Shandong,China)</w:t>
      </w:r>
    </w:p>
    <w:p w14:paraId="04A5FC17" w14:textId="77777777" w:rsidR="0052503D" w:rsidRPr="0052503D" w:rsidRDefault="0052503D" w:rsidP="0052503D">
      <w:pPr>
        <w:pStyle w:val="a8"/>
        <w:rPr>
          <w:lang w:val="en-US"/>
        </w:rPr>
      </w:pPr>
    </w:p>
    <w:p w14:paraId="6EC4B3ED" w14:textId="77777777" w:rsidR="0052503D" w:rsidRPr="0052503D" w:rsidRDefault="0052503D" w:rsidP="0052503D">
      <w:pPr>
        <w:pStyle w:val="a8"/>
        <w:rPr>
          <w:lang w:val="en-US"/>
        </w:rPr>
      </w:pPr>
      <w:r w:rsidRPr="0052503D">
        <w:rPr>
          <w:rStyle w:val="95"/>
          <w:lang w:val="en-US"/>
        </w:rPr>
        <w:t xml:space="preserve">Abstract: Objective  </w:t>
      </w:r>
      <w:r w:rsidRPr="0052503D">
        <w:rPr>
          <w:lang w:val="en-US"/>
        </w:rPr>
        <w:t>To analyze the efficacy and safety of metformin combined with 5-aminolaevulinic acid- photodynamic therapy (ALA-PDT) on moderate-severe facial vulgaris acne.</w:t>
      </w:r>
      <w:r w:rsidRPr="0052503D">
        <w:rPr>
          <w:rStyle w:val="95"/>
          <w:lang w:val="en-US"/>
        </w:rPr>
        <w:t xml:space="preserve"> Methods </w:t>
      </w:r>
      <w:r w:rsidRPr="0052503D">
        <w:rPr>
          <w:lang w:val="en-US"/>
        </w:rPr>
        <w:t xml:space="preserve"> According to the random number table method, 120 patients with moderate-severe facial vulgaris acne who were divided into control group and observation group in our hospital from January to December 2019, 60 patients in each group. Patients in the control group were treated with ALA-PDT (once a week), and patients in the observation group were treated with metformin (850 mg/d) combined with ALA-PDT (once every 2 weeks) for 8 consecutive weeks. Total effective rate of treatment, numbers of lesions, Acne-specific Quality of Life Question</w:t>
      </w:r>
      <w:r w:rsidRPr="0052503D">
        <w:rPr>
          <w:spacing w:val="4"/>
          <w:lang w:val="en-US"/>
        </w:rPr>
        <w:t>naire</w:t>
      </w:r>
      <w:r w:rsidRPr="0052503D">
        <w:rPr>
          <w:rFonts w:ascii="宋体" w:eastAsia="宋体" w:cs="宋体" w:hint="eastAsia"/>
          <w:spacing w:val="4"/>
          <w:lang w:val="en-US"/>
        </w:rPr>
        <w:t>，</w:t>
      </w:r>
      <w:r w:rsidRPr="0052503D">
        <w:rPr>
          <w:spacing w:val="4"/>
          <w:lang w:val="en-US"/>
        </w:rPr>
        <w:t xml:space="preserve">(Acne-Qol) scores and adverse reactions were observed in 2 groups. </w:t>
      </w:r>
      <w:r w:rsidRPr="0052503D">
        <w:rPr>
          <w:rStyle w:val="95"/>
          <w:spacing w:val="4"/>
          <w:lang w:val="en-US"/>
        </w:rPr>
        <w:t xml:space="preserve">Results </w:t>
      </w:r>
      <w:r w:rsidRPr="0052503D">
        <w:rPr>
          <w:spacing w:val="4"/>
          <w:lang w:val="en-US"/>
        </w:rPr>
        <w:t>The effective rates of treatment in the observation group and the control group was 95.00% and 81.67%, respectively, and the observation group was significantly higher than control group (P</w:t>
      </w:r>
      <w:r w:rsidRPr="0052503D">
        <w:rPr>
          <w:rFonts w:ascii="宋体" w:eastAsia="宋体" w:cs="宋体" w:hint="eastAsia"/>
          <w:spacing w:val="4"/>
          <w:lang w:val="en-US"/>
        </w:rPr>
        <w:t>＜</w:t>
      </w:r>
      <w:r w:rsidRPr="0052503D">
        <w:rPr>
          <w:spacing w:val="4"/>
          <w:lang w:val="en-US"/>
        </w:rPr>
        <w:t>0.05). After treatment, the numbers of skin lesions in both groups was significantly reduced (P</w:t>
      </w:r>
      <w:r w:rsidRPr="0052503D">
        <w:rPr>
          <w:rFonts w:ascii="宋体" w:eastAsia="宋体" w:cs="宋体" w:hint="eastAsia"/>
          <w:spacing w:val="4"/>
          <w:lang w:val="en-US"/>
        </w:rPr>
        <w:t>＜</w:t>
      </w:r>
      <w:r w:rsidRPr="0052503D">
        <w:rPr>
          <w:spacing w:val="4"/>
          <w:lang w:val="en-US"/>
        </w:rPr>
        <w:t>0.05), and the observation group was significantly lower than control group (P</w:t>
      </w:r>
      <w:r w:rsidRPr="0052503D">
        <w:rPr>
          <w:rFonts w:ascii="宋体" w:eastAsia="宋体" w:cs="宋体" w:hint="eastAsia"/>
          <w:spacing w:val="4"/>
          <w:lang w:val="en-US"/>
        </w:rPr>
        <w:t>＜</w:t>
      </w:r>
      <w:r w:rsidRPr="0052503D">
        <w:rPr>
          <w:spacing w:val="4"/>
          <w:lang w:val="en-US"/>
        </w:rPr>
        <w:t>0.05). The Acne-Qol scores in both groups were signific</w:t>
      </w:r>
      <w:r w:rsidRPr="0052503D">
        <w:rPr>
          <w:lang w:val="en-US"/>
        </w:rPr>
        <w:t>antly reduced (P</w:t>
      </w:r>
      <w:r w:rsidRPr="0052503D">
        <w:rPr>
          <w:rFonts w:ascii="宋体" w:eastAsia="宋体" w:cs="宋体" w:hint="eastAsia"/>
          <w:lang w:val="en-US"/>
        </w:rPr>
        <w:t>＜</w:t>
      </w:r>
      <w:r w:rsidRPr="0052503D">
        <w:rPr>
          <w:lang w:val="en-US"/>
        </w:rPr>
        <w:t>0.05), and the observation group was significantly lower than control group (P</w:t>
      </w:r>
      <w:r w:rsidRPr="0052503D">
        <w:rPr>
          <w:rFonts w:ascii="宋体" w:eastAsia="宋体" w:cs="宋体" w:hint="eastAsia"/>
          <w:lang w:val="en-US"/>
        </w:rPr>
        <w:t>＜</w:t>
      </w:r>
      <w:r w:rsidRPr="0052503D">
        <w:rPr>
          <w:lang w:val="en-US"/>
        </w:rPr>
        <w:t>0.05). There was no statistically significant difference in the incidence of adverse reactions between the two groups (P</w:t>
      </w:r>
      <w:r w:rsidRPr="0052503D">
        <w:rPr>
          <w:rFonts w:ascii="宋体" w:eastAsia="宋体" w:cs="宋体" w:hint="eastAsia"/>
          <w:lang w:val="en-US"/>
        </w:rPr>
        <w:t>＞</w:t>
      </w:r>
      <w:r w:rsidRPr="0052503D">
        <w:rPr>
          <w:lang w:val="en-US"/>
        </w:rPr>
        <w:t xml:space="preserve">0.05). </w:t>
      </w:r>
      <w:r w:rsidRPr="0052503D">
        <w:rPr>
          <w:rStyle w:val="95"/>
          <w:lang w:val="en-US"/>
        </w:rPr>
        <w:t xml:space="preserve">Conclusion  </w:t>
      </w:r>
      <w:r w:rsidRPr="0052503D">
        <w:rPr>
          <w:lang w:val="en-US"/>
        </w:rPr>
        <w:t>Metformin combined with ALA-PDT has good efficacy and safety in the treatment of facial moderate-severe acne, which can significantly improve the quality of life of patients.</w:t>
      </w:r>
    </w:p>
    <w:p w14:paraId="0B37866F" w14:textId="77777777" w:rsidR="0052503D" w:rsidRPr="0052503D" w:rsidRDefault="0052503D" w:rsidP="0052503D">
      <w:pPr>
        <w:pStyle w:val="a8"/>
        <w:rPr>
          <w:lang w:val="en-US"/>
        </w:rPr>
      </w:pPr>
      <w:r w:rsidRPr="0052503D">
        <w:rPr>
          <w:rStyle w:val="95"/>
          <w:lang w:val="en-US"/>
        </w:rPr>
        <w:t>Key words:</w:t>
      </w:r>
      <w:r w:rsidRPr="0052503D">
        <w:rPr>
          <w:lang w:val="en-US"/>
        </w:rPr>
        <w:t>moderate-severe acne;5-aminolaevulinic acid-photodynamic therapy;metformin;quality of life</w:t>
      </w:r>
    </w:p>
    <w:p w14:paraId="3BA1F469" w14:textId="78EA402A" w:rsidR="00BA7C01" w:rsidRPr="0052503D" w:rsidRDefault="00BA7C01" w:rsidP="0052503D"/>
    <w:sectPr w:rsidR="00BA7C01" w:rsidRPr="0052503D" w:rsidSect="001C622D">
      <w:pgSz w:w="11906" w:h="16838"/>
      <w:pgMar w:top="1134"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29201E"/>
    <w:rsid w:val="003A32F2"/>
    <w:rsid w:val="0040017D"/>
    <w:rsid w:val="004B3559"/>
    <w:rsid w:val="0052503D"/>
    <w:rsid w:val="00647A10"/>
    <w:rsid w:val="00BA18EC"/>
    <w:rsid w:val="00BA7C01"/>
    <w:rsid w:val="00C4673F"/>
    <w:rsid w:val="00CA62A7"/>
    <w:rsid w:val="00DF5338"/>
    <w:rsid w:val="00FD1C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398</Words>
  <Characters>2271</Characters>
  <Application>Microsoft Office Word</Application>
  <DocSecurity>0</DocSecurity>
  <Lines>18</Lines>
  <Paragraphs>5</Paragraphs>
  <ScaleCrop>false</ScaleCrop>
  <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dcterms:created xsi:type="dcterms:W3CDTF">2022-03-07T01:53:00Z</dcterms:created>
  <dcterms:modified xsi:type="dcterms:W3CDTF">2022-03-07T02:20:00Z</dcterms:modified>
</cp:coreProperties>
</file>