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AAA9A" w14:textId="77777777" w:rsidR="00FB58EA" w:rsidRPr="00FB58EA" w:rsidRDefault="00FB58EA" w:rsidP="00FB58EA">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FB58EA">
        <w:rPr>
          <w:rFonts w:ascii="方正小标宋_GBK" w:eastAsia="方正小标宋_GBK" w:cs="方正小标宋_GBK"/>
          <w:color w:val="920883"/>
          <w:kern w:val="0"/>
          <w:sz w:val="30"/>
          <w:szCs w:val="30"/>
          <w:lang w:val="zh-CN"/>
        </w:rPr>
        <w:t xml:space="preserve">iRoot BP Plus </w:t>
      </w:r>
      <w:r w:rsidRPr="00FB58EA">
        <w:rPr>
          <w:rFonts w:ascii="方正小标宋_GBK" w:eastAsia="方正小标宋_GBK" w:cs="方正小标宋_GBK" w:hint="eastAsia"/>
          <w:color w:val="920883"/>
          <w:kern w:val="0"/>
          <w:sz w:val="30"/>
          <w:szCs w:val="30"/>
          <w:lang w:val="zh-CN"/>
        </w:rPr>
        <w:t>与</w:t>
      </w:r>
      <w:r w:rsidRPr="00FB58EA">
        <w:rPr>
          <w:rFonts w:ascii="方正小标宋_GBK" w:eastAsia="方正小标宋_GBK" w:cs="方正小标宋_GBK"/>
          <w:color w:val="920883"/>
          <w:kern w:val="0"/>
          <w:sz w:val="30"/>
          <w:szCs w:val="30"/>
          <w:lang w:val="zh-CN"/>
        </w:rPr>
        <w:t>MTA</w:t>
      </w:r>
      <w:r w:rsidRPr="00FB58EA">
        <w:rPr>
          <w:rFonts w:ascii="方正小标宋_GBK" w:eastAsia="方正小标宋_GBK" w:cs="方正小标宋_GBK" w:hint="eastAsia"/>
          <w:color w:val="920883"/>
          <w:kern w:val="0"/>
          <w:sz w:val="30"/>
          <w:szCs w:val="30"/>
          <w:lang w:val="zh-CN"/>
        </w:rPr>
        <w:t>相比用于年轻恒牙直接盖髓术有效性的</w:t>
      </w:r>
      <w:r w:rsidRPr="00FB58EA">
        <w:rPr>
          <w:rFonts w:ascii="方正小标宋_GBK" w:eastAsia="方正小标宋_GBK" w:cs="方正小标宋_GBK"/>
          <w:color w:val="920883"/>
          <w:kern w:val="0"/>
          <w:sz w:val="30"/>
          <w:szCs w:val="30"/>
          <w:lang w:val="zh-CN"/>
        </w:rPr>
        <w:t>Meta</w:t>
      </w:r>
      <w:r w:rsidRPr="00FB58EA">
        <w:rPr>
          <w:rFonts w:ascii="方正小标宋_GBK" w:eastAsia="方正小标宋_GBK" w:cs="方正小标宋_GBK" w:hint="eastAsia"/>
          <w:color w:val="920883"/>
          <w:kern w:val="0"/>
          <w:sz w:val="30"/>
          <w:szCs w:val="30"/>
          <w:lang w:val="zh-CN"/>
        </w:rPr>
        <w:t>分析</w:t>
      </w:r>
    </w:p>
    <w:p w14:paraId="268FD759" w14:textId="77777777" w:rsidR="00FB58EA" w:rsidRPr="00FB58EA" w:rsidRDefault="00FB58EA" w:rsidP="00FB58E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B58EA">
        <w:rPr>
          <w:rFonts w:ascii="方正楷体_GBK" w:eastAsia="方正楷体_GBK" w:cs="方正楷体_GBK" w:hint="eastAsia"/>
          <w:color w:val="000000"/>
          <w:kern w:val="0"/>
          <w:sz w:val="24"/>
          <w:szCs w:val="24"/>
          <w:lang w:val="zh-CN"/>
        </w:rPr>
        <w:t>秦</w:t>
      </w:r>
      <w:r w:rsidRPr="00FB58EA">
        <w:rPr>
          <w:rFonts w:ascii="方正楷体_GBK" w:eastAsia="方正楷体_GBK" w:cs="方正楷体_GBK"/>
          <w:color w:val="000000"/>
          <w:kern w:val="0"/>
          <w:sz w:val="24"/>
          <w:szCs w:val="24"/>
          <w:lang w:val="zh-CN"/>
        </w:rPr>
        <w:t xml:space="preserve"> </w:t>
      </w:r>
      <w:r w:rsidRPr="00FB58EA">
        <w:rPr>
          <w:rFonts w:ascii="方正楷体_GBK" w:eastAsia="方正楷体_GBK" w:cs="方正楷体_GBK" w:hint="eastAsia"/>
          <w:color w:val="000000"/>
          <w:kern w:val="0"/>
          <w:sz w:val="24"/>
          <w:szCs w:val="24"/>
          <w:lang w:val="zh-CN"/>
        </w:rPr>
        <w:t>媛</w:t>
      </w:r>
      <w:r w:rsidRPr="00FB58EA">
        <w:rPr>
          <w:rFonts w:ascii="方正楷体_GBK" w:eastAsia="方正楷体_GBK" w:cs="方正楷体_GBK"/>
          <w:color w:val="000000"/>
          <w:kern w:val="0"/>
          <w:sz w:val="24"/>
          <w:szCs w:val="24"/>
          <w:vertAlign w:val="superscript"/>
          <w:lang w:val="zh-CN"/>
        </w:rPr>
        <w:t>1</w:t>
      </w:r>
      <w:r w:rsidRPr="00FB58EA">
        <w:rPr>
          <w:rFonts w:ascii="方正楷体_GBK" w:eastAsia="方正楷体_GBK" w:cs="方正楷体_GBK" w:hint="eastAsia"/>
          <w:color w:val="000000"/>
          <w:kern w:val="0"/>
          <w:sz w:val="24"/>
          <w:szCs w:val="24"/>
          <w:lang w:val="zh-CN"/>
        </w:rPr>
        <w:t>，张</w:t>
      </w:r>
      <w:r w:rsidRPr="00FB58EA">
        <w:rPr>
          <w:rFonts w:ascii="方正楷体_GBK" w:eastAsia="方正楷体_GBK" w:cs="方正楷体_GBK"/>
          <w:color w:val="000000"/>
          <w:kern w:val="0"/>
          <w:sz w:val="24"/>
          <w:szCs w:val="24"/>
          <w:lang w:val="zh-CN"/>
        </w:rPr>
        <w:t xml:space="preserve"> </w:t>
      </w:r>
      <w:r w:rsidRPr="00FB58EA">
        <w:rPr>
          <w:rFonts w:ascii="方正楷体_GBK" w:eastAsia="方正楷体_GBK" w:cs="方正楷体_GBK" w:hint="eastAsia"/>
          <w:color w:val="000000"/>
          <w:kern w:val="0"/>
          <w:sz w:val="24"/>
          <w:szCs w:val="24"/>
          <w:lang w:val="zh-CN"/>
        </w:rPr>
        <w:t>雪</w:t>
      </w:r>
      <w:r w:rsidRPr="00FB58EA">
        <w:rPr>
          <w:rFonts w:ascii="方正楷体_GBK" w:eastAsia="方正楷体_GBK" w:cs="方正楷体_GBK"/>
          <w:color w:val="000000"/>
          <w:kern w:val="0"/>
          <w:sz w:val="24"/>
          <w:szCs w:val="24"/>
          <w:vertAlign w:val="superscript"/>
          <w:lang w:val="zh-CN"/>
        </w:rPr>
        <w:t>2</w:t>
      </w:r>
      <w:r w:rsidRPr="00FB58EA">
        <w:rPr>
          <w:rFonts w:ascii="方正楷体_GBK" w:eastAsia="方正楷体_GBK" w:cs="方正楷体_GBK" w:hint="eastAsia"/>
          <w:color w:val="000000"/>
          <w:kern w:val="0"/>
          <w:sz w:val="24"/>
          <w:szCs w:val="24"/>
          <w:lang w:val="zh-CN"/>
        </w:rPr>
        <w:t>，权</w:t>
      </w:r>
      <w:r w:rsidRPr="00FB58EA">
        <w:rPr>
          <w:rFonts w:ascii="方正楷体_GBK" w:eastAsia="方正楷体_GBK" w:cs="方正楷体_GBK"/>
          <w:color w:val="000000"/>
          <w:kern w:val="0"/>
          <w:sz w:val="24"/>
          <w:szCs w:val="24"/>
          <w:lang w:val="zh-CN"/>
        </w:rPr>
        <w:t xml:space="preserve"> </w:t>
      </w:r>
      <w:r w:rsidRPr="00FB58EA">
        <w:rPr>
          <w:rFonts w:ascii="方正楷体_GBK" w:eastAsia="方正楷体_GBK" w:cs="方正楷体_GBK" w:hint="eastAsia"/>
          <w:color w:val="000000"/>
          <w:kern w:val="0"/>
          <w:sz w:val="24"/>
          <w:szCs w:val="24"/>
          <w:lang w:val="zh-CN"/>
        </w:rPr>
        <w:t>倩</w:t>
      </w:r>
      <w:r w:rsidRPr="00FB58EA">
        <w:rPr>
          <w:rFonts w:ascii="方正楷体_GBK" w:eastAsia="方正楷体_GBK" w:cs="方正楷体_GBK"/>
          <w:color w:val="000000"/>
          <w:kern w:val="0"/>
          <w:sz w:val="24"/>
          <w:szCs w:val="24"/>
          <w:vertAlign w:val="superscript"/>
          <w:lang w:val="zh-CN"/>
        </w:rPr>
        <w:t>1</w:t>
      </w:r>
      <w:r w:rsidRPr="00FB58EA">
        <w:rPr>
          <w:rFonts w:ascii="方正楷体_GBK" w:eastAsia="方正楷体_GBK" w:cs="方正楷体_GBK" w:hint="eastAsia"/>
          <w:color w:val="000000"/>
          <w:kern w:val="0"/>
          <w:sz w:val="24"/>
          <w:szCs w:val="24"/>
          <w:lang w:val="zh-CN"/>
        </w:rPr>
        <w:t>，董泰玮</w:t>
      </w:r>
      <w:r w:rsidRPr="00FB58EA">
        <w:rPr>
          <w:rFonts w:ascii="方正楷体_GBK" w:eastAsia="方正楷体_GBK" w:cs="方正楷体_GBK"/>
          <w:color w:val="000000"/>
          <w:kern w:val="0"/>
          <w:sz w:val="24"/>
          <w:szCs w:val="24"/>
          <w:vertAlign w:val="superscript"/>
          <w:lang w:val="zh-CN"/>
        </w:rPr>
        <w:t>3</w:t>
      </w:r>
    </w:p>
    <w:p w14:paraId="77453F7B" w14:textId="77777777" w:rsidR="00FB58EA" w:rsidRPr="00FB58EA" w:rsidRDefault="00FB58EA" w:rsidP="00FB58E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B58EA">
        <w:rPr>
          <w:rFonts w:ascii="方正楷体_GBK" w:eastAsia="方正楷体_GBK" w:cs="方正楷体_GBK" w:hint="eastAsia"/>
          <w:color w:val="000000"/>
          <w:kern w:val="0"/>
          <w:sz w:val="18"/>
          <w:szCs w:val="18"/>
          <w:lang w:val="zh-CN"/>
        </w:rPr>
        <w:t>（</w:t>
      </w:r>
      <w:r w:rsidRPr="00FB58EA">
        <w:rPr>
          <w:rFonts w:ascii="方正楷体_GBK" w:eastAsia="方正楷体_GBK" w:cs="方正楷体_GBK"/>
          <w:color w:val="000000"/>
          <w:kern w:val="0"/>
          <w:sz w:val="18"/>
          <w:szCs w:val="18"/>
          <w:lang w:val="zh-CN"/>
        </w:rPr>
        <w:t>1.</w:t>
      </w:r>
      <w:r w:rsidRPr="00FB58EA">
        <w:rPr>
          <w:rFonts w:ascii="方正楷体_GBK" w:eastAsia="方正楷体_GBK" w:cs="方正楷体_GBK" w:hint="eastAsia"/>
          <w:color w:val="000000"/>
          <w:kern w:val="0"/>
          <w:sz w:val="18"/>
          <w:szCs w:val="18"/>
          <w:lang w:val="zh-CN"/>
        </w:rPr>
        <w:t>军事口腔医学国家重点实验室</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口腔疾病国家临床医学研究中心</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陕西省口腔疾病国际联合研究中心</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第四军医大学口腔医院急诊与综合临床科</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陕西</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西安</w:t>
      </w:r>
      <w:r w:rsidRPr="00FB58EA">
        <w:rPr>
          <w:rFonts w:ascii="方正楷体_GBK" w:eastAsia="方正楷体_GBK" w:cs="方正楷体_GBK"/>
          <w:color w:val="000000"/>
          <w:kern w:val="0"/>
          <w:sz w:val="18"/>
          <w:szCs w:val="18"/>
          <w:lang w:val="zh-CN"/>
        </w:rPr>
        <w:t xml:space="preserve">  710032 </w:t>
      </w:r>
      <w:r w:rsidRPr="00FB58EA">
        <w:rPr>
          <w:rFonts w:ascii="方正楷体_GBK" w:eastAsia="方正楷体_GBK" w:cs="方正楷体_GBK" w:hint="eastAsia"/>
          <w:color w:val="000000"/>
          <w:kern w:val="0"/>
          <w:sz w:val="18"/>
          <w:szCs w:val="18"/>
          <w:lang w:val="zh-CN"/>
        </w:rPr>
        <w:t>；</w:t>
      </w:r>
      <w:r w:rsidRPr="00FB58EA">
        <w:rPr>
          <w:rFonts w:ascii="方正楷体_GBK" w:eastAsia="方正楷体_GBK" w:cs="方正楷体_GBK"/>
          <w:color w:val="000000"/>
          <w:kern w:val="0"/>
          <w:sz w:val="18"/>
          <w:szCs w:val="18"/>
          <w:lang w:val="zh-CN"/>
        </w:rPr>
        <w:t>2.</w:t>
      </w:r>
      <w:r w:rsidRPr="00FB58EA">
        <w:rPr>
          <w:rFonts w:ascii="方正楷体_GBK" w:eastAsia="方正楷体_GBK" w:cs="方正楷体_GBK" w:hint="eastAsia"/>
          <w:color w:val="000000"/>
          <w:kern w:val="0"/>
          <w:sz w:val="18"/>
          <w:szCs w:val="18"/>
          <w:lang w:val="zh-CN"/>
        </w:rPr>
        <w:t>河北唐山中心医院</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河北</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唐山</w:t>
      </w:r>
      <w:r w:rsidRPr="00FB58EA">
        <w:rPr>
          <w:rFonts w:ascii="方正楷体_GBK" w:eastAsia="方正楷体_GBK" w:cs="方正楷体_GBK"/>
          <w:color w:val="000000"/>
          <w:kern w:val="0"/>
          <w:sz w:val="18"/>
          <w:szCs w:val="18"/>
          <w:lang w:val="zh-CN"/>
        </w:rPr>
        <w:t xml:space="preserve">  063000</w:t>
      </w:r>
      <w:r w:rsidRPr="00FB58EA">
        <w:rPr>
          <w:rFonts w:ascii="方正楷体_GBK" w:eastAsia="方正楷体_GBK" w:cs="方正楷体_GBK" w:hint="eastAsia"/>
          <w:color w:val="000000"/>
          <w:kern w:val="0"/>
          <w:sz w:val="18"/>
          <w:szCs w:val="18"/>
          <w:lang w:val="zh-CN"/>
        </w:rPr>
        <w:t>；</w:t>
      </w:r>
      <w:r w:rsidRPr="00FB58EA">
        <w:rPr>
          <w:rFonts w:ascii="方正楷体_GBK" w:eastAsia="方正楷体_GBK" w:cs="方正楷体_GBK"/>
          <w:color w:val="000000"/>
          <w:kern w:val="0"/>
          <w:sz w:val="18"/>
          <w:szCs w:val="18"/>
          <w:lang w:val="zh-CN"/>
        </w:rPr>
        <w:t>3.</w:t>
      </w:r>
      <w:r w:rsidRPr="00FB58EA">
        <w:rPr>
          <w:rFonts w:ascii="方正楷体_GBK" w:eastAsia="方正楷体_GBK" w:cs="方正楷体_GBK" w:hint="eastAsia"/>
          <w:color w:val="000000"/>
          <w:kern w:val="0"/>
          <w:sz w:val="18"/>
          <w:szCs w:val="18"/>
          <w:lang w:val="zh-CN"/>
        </w:rPr>
        <w:t>陕西中医药大学药学院</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陕西</w:t>
      </w:r>
      <w:r w:rsidRPr="00FB58EA">
        <w:rPr>
          <w:rFonts w:ascii="方正楷体_GBK" w:eastAsia="方正楷体_GBK" w:cs="方正楷体_GBK"/>
          <w:color w:val="000000"/>
          <w:kern w:val="0"/>
          <w:sz w:val="18"/>
          <w:szCs w:val="18"/>
          <w:lang w:val="zh-CN"/>
        </w:rPr>
        <w:t xml:space="preserve"> </w:t>
      </w:r>
      <w:r w:rsidRPr="00FB58EA">
        <w:rPr>
          <w:rFonts w:ascii="方正楷体_GBK" w:eastAsia="方正楷体_GBK" w:cs="方正楷体_GBK" w:hint="eastAsia"/>
          <w:color w:val="000000"/>
          <w:kern w:val="0"/>
          <w:sz w:val="18"/>
          <w:szCs w:val="18"/>
          <w:lang w:val="zh-CN"/>
        </w:rPr>
        <w:t>咸阳</w:t>
      </w:r>
      <w:r w:rsidRPr="00FB58EA">
        <w:rPr>
          <w:rFonts w:ascii="方正楷体_GBK" w:eastAsia="方正楷体_GBK" w:cs="方正楷体_GBK"/>
          <w:color w:val="000000"/>
          <w:kern w:val="0"/>
          <w:sz w:val="18"/>
          <w:szCs w:val="18"/>
          <w:lang w:val="zh-CN"/>
        </w:rPr>
        <w:t xml:space="preserve">  712046</w:t>
      </w:r>
      <w:r w:rsidRPr="00FB58EA">
        <w:rPr>
          <w:rFonts w:ascii="方正楷体_GBK" w:eastAsia="方正楷体_GBK" w:cs="方正楷体_GBK" w:hint="eastAsia"/>
          <w:color w:val="000000"/>
          <w:kern w:val="0"/>
          <w:sz w:val="18"/>
          <w:szCs w:val="18"/>
          <w:lang w:val="zh-CN"/>
        </w:rPr>
        <w:t>）</w:t>
      </w:r>
    </w:p>
    <w:p w14:paraId="36A13CD5" w14:textId="77777777" w:rsidR="00FB58EA" w:rsidRPr="00FB58EA" w:rsidRDefault="00FB58EA" w:rsidP="00FB58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62A787A0" w14:textId="77777777" w:rsidR="00FB58EA" w:rsidRPr="00FB58EA" w:rsidRDefault="00FB58EA" w:rsidP="00FB58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B58EA">
        <w:rPr>
          <w:rFonts w:ascii="黑体" w:eastAsia="黑体" w:cs="黑体"/>
          <w:color w:val="000000"/>
          <w:kern w:val="0"/>
          <w:sz w:val="18"/>
          <w:szCs w:val="18"/>
          <w:lang w:val="zh-CN"/>
        </w:rPr>
        <w:t>[</w:t>
      </w:r>
      <w:r w:rsidRPr="00FB58EA">
        <w:rPr>
          <w:rFonts w:ascii="黑体" w:eastAsia="黑体" w:cs="黑体" w:hint="eastAsia"/>
          <w:color w:val="000000"/>
          <w:kern w:val="0"/>
          <w:sz w:val="18"/>
          <w:szCs w:val="18"/>
          <w:lang w:val="zh-CN"/>
        </w:rPr>
        <w:t>摘要</w:t>
      </w:r>
      <w:r w:rsidRPr="00FB58EA">
        <w:rPr>
          <w:rFonts w:ascii="黑体" w:eastAsia="黑体" w:cs="黑体"/>
          <w:color w:val="000000"/>
          <w:kern w:val="0"/>
          <w:sz w:val="18"/>
          <w:szCs w:val="18"/>
          <w:lang w:val="zh-CN"/>
        </w:rPr>
        <w:t>]</w:t>
      </w:r>
      <w:r w:rsidRPr="00FB58EA">
        <w:rPr>
          <w:rFonts w:ascii="黑体" w:eastAsia="黑体" w:cs="黑体" w:hint="eastAsia"/>
          <w:color w:val="000000"/>
          <w:kern w:val="0"/>
          <w:sz w:val="18"/>
          <w:szCs w:val="18"/>
          <w:lang w:val="zh-CN"/>
        </w:rPr>
        <w:t>目的</w:t>
      </w:r>
      <w:r w:rsidRPr="00FB58EA">
        <w:rPr>
          <w:rFonts w:ascii="黑体" w:eastAsia="黑体" w:cs="黑体" w:hint="eastAsia"/>
          <w:color w:val="000000"/>
          <w:spacing w:val="4"/>
          <w:kern w:val="0"/>
          <w:sz w:val="18"/>
          <w:szCs w:val="18"/>
          <w:lang w:val="zh-CN"/>
        </w:rPr>
        <w:t>：</w:t>
      </w:r>
      <w:r w:rsidRPr="00FB58EA">
        <w:rPr>
          <w:rFonts w:ascii="楷体_GB2312" w:eastAsia="楷体_GB2312" w:cs="楷体_GB2312" w:hint="eastAsia"/>
          <w:color w:val="000000"/>
          <w:spacing w:val="4"/>
          <w:kern w:val="0"/>
          <w:sz w:val="18"/>
          <w:szCs w:val="18"/>
          <w:lang w:val="zh-CN"/>
        </w:rPr>
        <w:t>采用</w:t>
      </w:r>
      <w:r w:rsidRPr="00FB58EA">
        <w:rPr>
          <w:rFonts w:ascii="楷体_GB2312" w:eastAsia="楷体_GB2312" w:cs="楷体_GB2312"/>
          <w:color w:val="000000"/>
          <w:spacing w:val="4"/>
          <w:kern w:val="0"/>
          <w:sz w:val="18"/>
          <w:szCs w:val="18"/>
          <w:lang w:val="zh-CN"/>
        </w:rPr>
        <w:t>Meta</w:t>
      </w:r>
      <w:r w:rsidRPr="00FB58EA">
        <w:rPr>
          <w:rFonts w:ascii="楷体_GB2312" w:eastAsia="楷体_GB2312" w:cs="楷体_GB2312" w:hint="eastAsia"/>
          <w:color w:val="000000"/>
          <w:spacing w:val="4"/>
          <w:kern w:val="0"/>
          <w:sz w:val="18"/>
          <w:szCs w:val="18"/>
          <w:lang w:val="zh-CN"/>
        </w:rPr>
        <w:t>分析方法评价</w:t>
      </w:r>
      <w:r w:rsidRPr="00FB58EA">
        <w:rPr>
          <w:rFonts w:ascii="楷体_GB2312" w:eastAsia="楷体_GB2312" w:cs="楷体_GB2312"/>
          <w:color w:val="000000"/>
          <w:spacing w:val="4"/>
          <w:kern w:val="0"/>
          <w:sz w:val="18"/>
          <w:szCs w:val="18"/>
          <w:lang w:val="zh-CN"/>
        </w:rPr>
        <w:t>iRoot BP Plus</w:t>
      </w:r>
      <w:r w:rsidRPr="00FB58EA">
        <w:rPr>
          <w:rFonts w:ascii="楷体_GB2312" w:eastAsia="楷体_GB2312" w:cs="楷体_GB2312" w:hint="eastAsia"/>
          <w:color w:val="000000"/>
          <w:spacing w:val="4"/>
          <w:kern w:val="0"/>
          <w:sz w:val="18"/>
          <w:szCs w:val="18"/>
          <w:lang w:val="zh-CN"/>
        </w:rPr>
        <w:t>与</w:t>
      </w:r>
      <w:r w:rsidRPr="00FB58EA">
        <w:rPr>
          <w:rFonts w:ascii="楷体_GB2312" w:eastAsia="楷体_GB2312" w:cs="楷体_GB2312"/>
          <w:color w:val="000000"/>
          <w:spacing w:val="4"/>
          <w:kern w:val="0"/>
          <w:sz w:val="18"/>
          <w:szCs w:val="18"/>
          <w:lang w:val="zh-CN"/>
        </w:rPr>
        <w:t>MTA</w:t>
      </w:r>
      <w:r w:rsidRPr="00FB58EA">
        <w:rPr>
          <w:rFonts w:ascii="楷体_GB2312" w:eastAsia="楷体_GB2312" w:cs="楷体_GB2312" w:hint="eastAsia"/>
          <w:color w:val="000000"/>
          <w:spacing w:val="4"/>
          <w:kern w:val="0"/>
          <w:sz w:val="18"/>
          <w:szCs w:val="18"/>
          <w:lang w:val="zh-CN"/>
        </w:rPr>
        <w:t>分别用于年轻恒牙直接盖髓的疗效。</w:t>
      </w:r>
      <w:r w:rsidRPr="00FB58EA">
        <w:rPr>
          <w:rFonts w:ascii="黑体" w:eastAsia="黑体" w:cs="黑体" w:hint="eastAsia"/>
          <w:color w:val="000000"/>
          <w:spacing w:val="4"/>
          <w:kern w:val="0"/>
          <w:sz w:val="18"/>
          <w:szCs w:val="18"/>
          <w:lang w:val="zh-CN"/>
        </w:rPr>
        <w:t>方法：</w:t>
      </w:r>
      <w:r w:rsidRPr="00FB58EA">
        <w:rPr>
          <w:rFonts w:ascii="楷体_GB2312" w:eastAsia="楷体_GB2312" w:cs="楷体_GB2312" w:hint="eastAsia"/>
          <w:color w:val="000000"/>
          <w:spacing w:val="4"/>
          <w:kern w:val="0"/>
          <w:sz w:val="18"/>
          <w:szCs w:val="18"/>
          <w:lang w:val="zh-CN"/>
        </w:rPr>
        <w:t>计算机检索</w:t>
      </w:r>
      <w:r w:rsidRPr="00FB58EA">
        <w:rPr>
          <w:rFonts w:ascii="楷体_GB2312" w:eastAsia="楷体_GB2312" w:cs="楷体_GB2312"/>
          <w:color w:val="000000"/>
          <w:spacing w:val="4"/>
          <w:kern w:val="0"/>
          <w:sz w:val="18"/>
          <w:szCs w:val="18"/>
          <w:lang w:val="zh-CN"/>
        </w:rPr>
        <w:t>VIP</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 xml:space="preserve">WanFang Data </w:t>
      </w:r>
      <w:r w:rsidRPr="00FB58EA">
        <w:rPr>
          <w:rFonts w:ascii="楷体_GB2312" w:eastAsia="楷体_GB2312" w:cs="楷体_GB2312" w:hint="eastAsia"/>
          <w:color w:val="000000"/>
          <w:spacing w:val="4"/>
          <w:kern w:val="0"/>
          <w:sz w:val="18"/>
          <w:szCs w:val="18"/>
          <w:lang w:val="zh-CN"/>
        </w:rPr>
        <w:t>和</w:t>
      </w:r>
      <w:r w:rsidRPr="00FB58EA">
        <w:rPr>
          <w:rFonts w:ascii="楷体_GB2312" w:eastAsia="楷体_GB2312" w:cs="楷体_GB2312"/>
          <w:color w:val="000000"/>
          <w:spacing w:val="4"/>
          <w:kern w:val="0"/>
          <w:sz w:val="18"/>
          <w:szCs w:val="18"/>
          <w:lang w:val="zh-CN"/>
        </w:rPr>
        <w:t xml:space="preserve"> CNKI</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PubMed</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Cochrane Library</w:t>
      </w:r>
      <w:r w:rsidRPr="00FB58EA">
        <w:rPr>
          <w:rFonts w:ascii="楷体_GB2312" w:eastAsia="楷体_GB2312" w:cs="楷体_GB2312" w:hint="eastAsia"/>
          <w:color w:val="000000"/>
          <w:spacing w:val="4"/>
          <w:kern w:val="0"/>
          <w:sz w:val="18"/>
          <w:szCs w:val="18"/>
          <w:lang w:val="zh-CN"/>
        </w:rPr>
        <w:t>数据库收录的</w:t>
      </w:r>
      <w:r w:rsidRPr="00FB58EA">
        <w:rPr>
          <w:rFonts w:ascii="楷体_GB2312" w:eastAsia="楷体_GB2312" w:cs="楷体_GB2312"/>
          <w:color w:val="000000"/>
          <w:spacing w:val="4"/>
          <w:kern w:val="0"/>
          <w:sz w:val="18"/>
          <w:szCs w:val="18"/>
          <w:lang w:val="zh-CN"/>
        </w:rPr>
        <w:t>iRoot BP Plus</w:t>
      </w:r>
      <w:r w:rsidRPr="00FB58EA">
        <w:rPr>
          <w:rFonts w:ascii="楷体_GB2312" w:eastAsia="楷体_GB2312" w:cs="楷体_GB2312" w:hint="eastAsia"/>
          <w:color w:val="000000"/>
          <w:spacing w:val="4"/>
          <w:kern w:val="0"/>
          <w:sz w:val="18"/>
          <w:szCs w:val="18"/>
          <w:lang w:val="zh-CN"/>
        </w:rPr>
        <w:t>和</w:t>
      </w:r>
      <w:r w:rsidRPr="00FB58EA">
        <w:rPr>
          <w:rFonts w:ascii="楷体_GB2312" w:eastAsia="楷体_GB2312" w:cs="楷体_GB2312"/>
          <w:color w:val="000000"/>
          <w:spacing w:val="4"/>
          <w:kern w:val="0"/>
          <w:sz w:val="18"/>
          <w:szCs w:val="18"/>
          <w:lang w:val="zh-CN"/>
        </w:rPr>
        <w:t>MTA</w:t>
      </w:r>
      <w:r w:rsidRPr="00FB58EA">
        <w:rPr>
          <w:rFonts w:ascii="楷体_GB2312" w:eastAsia="楷体_GB2312" w:cs="楷体_GB2312" w:hint="eastAsia"/>
          <w:color w:val="000000"/>
          <w:spacing w:val="4"/>
          <w:kern w:val="0"/>
          <w:sz w:val="18"/>
          <w:szCs w:val="18"/>
          <w:lang w:val="zh-CN"/>
        </w:rPr>
        <w:t>用于年轻恒牙直接盖髓的疗效随机对照试验</w:t>
      </w:r>
      <w:r w:rsidRPr="00FB58EA">
        <w:rPr>
          <w:rFonts w:ascii="楷体_GB2312" w:eastAsia="楷体_GB2312" w:cs="楷体_GB2312" w:hint="eastAsia"/>
          <w:color w:val="000000"/>
          <w:spacing w:val="7"/>
          <w:kern w:val="0"/>
          <w:sz w:val="18"/>
          <w:szCs w:val="18"/>
          <w:lang w:val="zh-CN"/>
        </w:rPr>
        <w:t>（</w:t>
      </w:r>
      <w:r w:rsidRPr="00FB58EA">
        <w:rPr>
          <w:rFonts w:ascii="楷体_GB2312" w:eastAsia="楷体_GB2312" w:cs="楷体_GB2312"/>
          <w:color w:val="000000"/>
          <w:spacing w:val="7"/>
          <w:kern w:val="0"/>
          <w:sz w:val="18"/>
          <w:szCs w:val="18"/>
          <w:lang w:val="zh-CN"/>
        </w:rPr>
        <w:t>RCTs</w:t>
      </w:r>
      <w:r w:rsidRPr="00FB58EA">
        <w:rPr>
          <w:rFonts w:ascii="楷体_GB2312" w:eastAsia="楷体_GB2312" w:cs="楷体_GB2312" w:hint="eastAsia"/>
          <w:color w:val="000000"/>
          <w:spacing w:val="7"/>
          <w:kern w:val="0"/>
          <w:sz w:val="18"/>
          <w:szCs w:val="18"/>
          <w:lang w:val="zh-CN"/>
        </w:rPr>
        <w:t>），检索时限从建库至</w:t>
      </w:r>
      <w:r w:rsidRPr="00FB58EA">
        <w:rPr>
          <w:rFonts w:ascii="楷体_GB2312" w:eastAsia="楷体_GB2312" w:cs="楷体_GB2312"/>
          <w:color w:val="000000"/>
          <w:spacing w:val="7"/>
          <w:kern w:val="0"/>
          <w:sz w:val="18"/>
          <w:szCs w:val="18"/>
          <w:lang w:val="zh-CN"/>
        </w:rPr>
        <w:t>2020</w:t>
      </w:r>
      <w:r w:rsidRPr="00FB58EA">
        <w:rPr>
          <w:rFonts w:ascii="楷体_GB2312" w:eastAsia="楷体_GB2312" w:cs="楷体_GB2312" w:hint="eastAsia"/>
          <w:color w:val="000000"/>
          <w:spacing w:val="7"/>
          <w:kern w:val="0"/>
          <w:sz w:val="18"/>
          <w:szCs w:val="18"/>
          <w:lang w:val="zh-CN"/>
        </w:rPr>
        <w:t>年</w:t>
      </w:r>
      <w:r w:rsidRPr="00FB58EA">
        <w:rPr>
          <w:rFonts w:ascii="楷体_GB2312" w:eastAsia="楷体_GB2312" w:cs="楷体_GB2312"/>
          <w:color w:val="000000"/>
          <w:spacing w:val="7"/>
          <w:kern w:val="0"/>
          <w:sz w:val="18"/>
          <w:szCs w:val="18"/>
          <w:lang w:val="zh-CN"/>
        </w:rPr>
        <w:t>4</w:t>
      </w:r>
      <w:r w:rsidRPr="00FB58EA">
        <w:rPr>
          <w:rFonts w:ascii="楷体_GB2312" w:eastAsia="楷体_GB2312" w:cs="楷体_GB2312" w:hint="eastAsia"/>
          <w:color w:val="000000"/>
          <w:spacing w:val="7"/>
          <w:kern w:val="0"/>
          <w:sz w:val="18"/>
          <w:szCs w:val="18"/>
          <w:lang w:val="zh-CN"/>
        </w:rPr>
        <w:t>月</w:t>
      </w:r>
      <w:r w:rsidRPr="00FB58EA">
        <w:rPr>
          <w:rFonts w:ascii="楷体_GB2312" w:eastAsia="楷体_GB2312" w:cs="楷体_GB2312"/>
          <w:color w:val="000000"/>
          <w:spacing w:val="7"/>
          <w:kern w:val="0"/>
          <w:sz w:val="18"/>
          <w:szCs w:val="18"/>
          <w:lang w:val="zh-CN"/>
        </w:rPr>
        <w:t>12</w:t>
      </w:r>
      <w:r w:rsidRPr="00FB58EA">
        <w:rPr>
          <w:rFonts w:ascii="楷体_GB2312" w:eastAsia="楷体_GB2312" w:cs="楷体_GB2312" w:hint="eastAsia"/>
          <w:color w:val="000000"/>
          <w:spacing w:val="7"/>
          <w:kern w:val="0"/>
          <w:sz w:val="18"/>
          <w:szCs w:val="18"/>
          <w:lang w:val="zh-CN"/>
        </w:rPr>
        <w:t>日。在资料收集和提取后，采用</w:t>
      </w:r>
      <w:r w:rsidRPr="00FB58EA">
        <w:rPr>
          <w:rFonts w:ascii="楷体_GB2312" w:eastAsia="楷体_GB2312" w:cs="楷体_GB2312"/>
          <w:color w:val="000000"/>
          <w:spacing w:val="7"/>
          <w:kern w:val="0"/>
          <w:sz w:val="18"/>
          <w:szCs w:val="18"/>
          <w:lang w:val="zh-CN"/>
        </w:rPr>
        <w:t>Review Manager 5.3</w:t>
      </w:r>
      <w:r w:rsidRPr="00FB58EA">
        <w:rPr>
          <w:rFonts w:ascii="楷体_GB2312" w:eastAsia="楷体_GB2312" w:cs="楷体_GB2312" w:hint="eastAsia"/>
          <w:color w:val="000000"/>
          <w:spacing w:val="7"/>
          <w:kern w:val="0"/>
          <w:sz w:val="18"/>
          <w:szCs w:val="18"/>
          <w:lang w:val="zh-CN"/>
        </w:rPr>
        <w:t>软件进行</w:t>
      </w:r>
      <w:r w:rsidRPr="00FB58EA">
        <w:rPr>
          <w:rFonts w:ascii="楷体_GB2312" w:eastAsia="楷体_GB2312" w:cs="楷体_GB2312"/>
          <w:color w:val="000000"/>
          <w:spacing w:val="7"/>
          <w:kern w:val="0"/>
          <w:sz w:val="18"/>
          <w:szCs w:val="18"/>
          <w:lang w:val="zh-CN"/>
        </w:rPr>
        <w:t>Meta</w:t>
      </w:r>
      <w:r w:rsidRPr="00FB58EA">
        <w:rPr>
          <w:rFonts w:ascii="楷体_GB2312" w:eastAsia="楷体_GB2312" w:cs="楷体_GB2312" w:hint="eastAsia"/>
          <w:color w:val="000000"/>
          <w:spacing w:val="7"/>
          <w:kern w:val="0"/>
          <w:sz w:val="18"/>
          <w:szCs w:val="18"/>
          <w:lang w:val="zh-CN"/>
        </w:rPr>
        <w:t>分析。</w:t>
      </w:r>
      <w:r w:rsidRPr="00FB58EA">
        <w:rPr>
          <w:rFonts w:ascii="黑体" w:eastAsia="黑体" w:cs="黑体" w:hint="eastAsia"/>
          <w:color w:val="000000"/>
          <w:spacing w:val="7"/>
          <w:kern w:val="0"/>
          <w:sz w:val="18"/>
          <w:szCs w:val="18"/>
          <w:lang w:val="zh-CN"/>
        </w:rPr>
        <w:t>结果</w:t>
      </w:r>
      <w:r w:rsidRPr="00FB58EA">
        <w:rPr>
          <w:rFonts w:ascii="黑体" w:eastAsia="黑体" w:cs="黑体" w:hint="eastAsia"/>
          <w:color w:val="000000"/>
          <w:spacing w:val="4"/>
          <w:kern w:val="0"/>
          <w:sz w:val="18"/>
          <w:szCs w:val="18"/>
          <w:lang w:val="zh-CN"/>
        </w:rPr>
        <w:t>：</w:t>
      </w:r>
      <w:r w:rsidRPr="00FB58EA">
        <w:rPr>
          <w:rFonts w:ascii="楷体_GB2312" w:eastAsia="楷体_GB2312" w:cs="楷体_GB2312" w:hint="eastAsia"/>
          <w:color w:val="000000"/>
          <w:spacing w:val="4"/>
          <w:kern w:val="0"/>
          <w:sz w:val="18"/>
          <w:szCs w:val="18"/>
          <w:lang w:val="zh-CN"/>
        </w:rPr>
        <w:t>共纳入</w:t>
      </w:r>
      <w:r w:rsidRPr="00FB58EA">
        <w:rPr>
          <w:rFonts w:ascii="楷体_GB2312" w:eastAsia="楷体_GB2312" w:cs="楷体_GB2312"/>
          <w:color w:val="000000"/>
          <w:spacing w:val="4"/>
          <w:kern w:val="0"/>
          <w:sz w:val="18"/>
          <w:szCs w:val="18"/>
          <w:lang w:val="zh-CN"/>
        </w:rPr>
        <w:t>8</w:t>
      </w:r>
      <w:r w:rsidRPr="00FB58EA">
        <w:rPr>
          <w:rFonts w:ascii="楷体_GB2312" w:eastAsia="楷体_GB2312" w:cs="楷体_GB2312" w:hint="eastAsia"/>
          <w:color w:val="000000"/>
          <w:spacing w:val="4"/>
          <w:kern w:val="0"/>
          <w:sz w:val="18"/>
          <w:szCs w:val="18"/>
          <w:lang w:val="zh-CN"/>
        </w:rPr>
        <w:t>个</w:t>
      </w:r>
      <w:r w:rsidRPr="00FB58EA">
        <w:rPr>
          <w:rFonts w:ascii="楷体_GB2312" w:eastAsia="楷体_GB2312" w:cs="楷体_GB2312"/>
          <w:color w:val="000000"/>
          <w:spacing w:val="4"/>
          <w:kern w:val="0"/>
          <w:sz w:val="18"/>
          <w:szCs w:val="18"/>
          <w:lang w:val="zh-CN"/>
        </w:rPr>
        <w:t>RCTs</w:t>
      </w:r>
      <w:r w:rsidRPr="00FB58EA">
        <w:rPr>
          <w:rFonts w:ascii="楷体_GB2312" w:eastAsia="楷体_GB2312" w:cs="楷体_GB2312" w:hint="eastAsia"/>
          <w:color w:val="000000"/>
          <w:spacing w:val="4"/>
          <w:kern w:val="0"/>
          <w:sz w:val="18"/>
          <w:szCs w:val="18"/>
          <w:lang w:val="zh-CN"/>
        </w:rPr>
        <w:t>，包括</w:t>
      </w:r>
      <w:r w:rsidRPr="00FB58EA">
        <w:rPr>
          <w:rFonts w:ascii="楷体_GB2312" w:eastAsia="楷体_GB2312" w:cs="楷体_GB2312"/>
          <w:color w:val="000000"/>
          <w:spacing w:val="4"/>
          <w:kern w:val="0"/>
          <w:sz w:val="18"/>
          <w:szCs w:val="18"/>
          <w:lang w:val="zh-CN"/>
        </w:rPr>
        <w:t>426</w:t>
      </w:r>
      <w:r w:rsidRPr="00FB58EA">
        <w:rPr>
          <w:rFonts w:ascii="楷体_GB2312" w:eastAsia="楷体_GB2312" w:cs="楷体_GB2312" w:hint="eastAsia"/>
          <w:color w:val="000000"/>
          <w:spacing w:val="4"/>
          <w:kern w:val="0"/>
          <w:sz w:val="18"/>
          <w:szCs w:val="18"/>
          <w:lang w:val="zh-CN"/>
        </w:rPr>
        <w:t>例患者。</w:t>
      </w:r>
      <w:r w:rsidRPr="00FB58EA">
        <w:rPr>
          <w:rFonts w:ascii="楷体_GB2312" w:eastAsia="楷体_GB2312" w:cs="楷体_GB2312"/>
          <w:color w:val="000000"/>
          <w:spacing w:val="4"/>
          <w:kern w:val="0"/>
          <w:sz w:val="18"/>
          <w:szCs w:val="18"/>
          <w:lang w:val="zh-CN"/>
        </w:rPr>
        <w:t>iRoot BP Plus</w:t>
      </w:r>
      <w:r w:rsidRPr="00FB58EA">
        <w:rPr>
          <w:rFonts w:ascii="楷体_GB2312" w:eastAsia="楷体_GB2312" w:cs="楷体_GB2312" w:hint="eastAsia"/>
          <w:color w:val="000000"/>
          <w:spacing w:val="4"/>
          <w:kern w:val="0"/>
          <w:sz w:val="18"/>
          <w:szCs w:val="18"/>
          <w:lang w:val="zh-CN"/>
        </w:rPr>
        <w:t>与</w:t>
      </w:r>
      <w:r w:rsidRPr="00FB58EA">
        <w:rPr>
          <w:rFonts w:ascii="楷体_GB2312" w:eastAsia="楷体_GB2312" w:cs="楷体_GB2312"/>
          <w:color w:val="000000"/>
          <w:spacing w:val="4"/>
          <w:kern w:val="0"/>
          <w:sz w:val="18"/>
          <w:szCs w:val="18"/>
          <w:lang w:val="zh-CN"/>
        </w:rPr>
        <w:t>MTA</w:t>
      </w:r>
      <w:r w:rsidRPr="00FB58EA">
        <w:rPr>
          <w:rFonts w:ascii="楷体_GB2312" w:eastAsia="楷体_GB2312" w:cs="楷体_GB2312" w:hint="eastAsia"/>
          <w:color w:val="000000"/>
          <w:spacing w:val="4"/>
          <w:kern w:val="0"/>
          <w:sz w:val="18"/>
          <w:szCs w:val="18"/>
          <w:lang w:val="zh-CN"/>
        </w:rPr>
        <w:t>的成功率</w:t>
      </w:r>
      <w:r w:rsidRPr="00FB58EA">
        <w:rPr>
          <w:rFonts w:ascii="楷体_GB2312" w:eastAsia="楷体_GB2312" w:cs="楷体_GB2312"/>
          <w:color w:val="000000"/>
          <w:spacing w:val="4"/>
          <w:kern w:val="0"/>
          <w:sz w:val="18"/>
          <w:szCs w:val="18"/>
          <w:lang w:val="zh-CN"/>
        </w:rPr>
        <w:t>[RR=1.04</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95%CI</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0.98</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1.11</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P</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0.00</w:t>
      </w:r>
      <w:r w:rsidRPr="00FB58EA">
        <w:rPr>
          <w:rFonts w:ascii="MS Gothic" w:eastAsia="MS Gothic" w:hAnsi="MS Gothic" w:cs="MS Gothic" w:hint="eastAsia"/>
          <w:color w:val="000000"/>
          <w:kern w:val="0"/>
          <w:sz w:val="18"/>
          <w:szCs w:val="18"/>
          <w:lang w:val="zh-CN"/>
        </w:rPr>
        <w:t> </w:t>
      </w:r>
      <w:r w:rsidRPr="00FB58EA">
        <w:rPr>
          <w:rFonts w:ascii="楷体_GB2312" w:eastAsia="楷体_GB2312" w:cs="楷体_GB2312"/>
          <w:color w:val="000000"/>
          <w:spacing w:val="4"/>
          <w:kern w:val="0"/>
          <w:sz w:val="18"/>
          <w:szCs w:val="18"/>
          <w:lang w:val="zh-CN"/>
        </w:rPr>
        <w:t>001]</w:t>
      </w:r>
      <w:r w:rsidRPr="00FB58EA">
        <w:rPr>
          <w:rFonts w:ascii="楷体_GB2312" w:eastAsia="楷体_GB2312" w:cs="楷体_GB2312" w:hint="eastAsia"/>
          <w:color w:val="000000"/>
          <w:spacing w:val="4"/>
          <w:kern w:val="0"/>
          <w:sz w:val="18"/>
          <w:szCs w:val="18"/>
          <w:lang w:val="zh-CN"/>
        </w:rPr>
        <w:t>和钙化桥形成率</w:t>
      </w:r>
      <w:r w:rsidRPr="00FB58EA">
        <w:rPr>
          <w:rFonts w:ascii="楷体_GB2312" w:eastAsia="楷体_GB2312" w:cs="楷体_GB2312"/>
          <w:color w:val="000000"/>
          <w:spacing w:val="4"/>
          <w:kern w:val="0"/>
          <w:sz w:val="18"/>
          <w:szCs w:val="18"/>
          <w:lang w:val="zh-CN"/>
        </w:rPr>
        <w:t>[RR=1.01</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95%CI</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0.91</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1.12</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P</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0.00</w:t>
      </w:r>
      <w:r w:rsidRPr="00FB58EA">
        <w:rPr>
          <w:rFonts w:ascii="MS Gothic" w:eastAsia="MS Gothic" w:hAnsi="MS Gothic" w:cs="MS Gothic" w:hint="eastAsia"/>
          <w:color w:val="000000"/>
          <w:kern w:val="0"/>
          <w:sz w:val="18"/>
          <w:szCs w:val="18"/>
          <w:lang w:val="zh-CN"/>
        </w:rPr>
        <w:t> </w:t>
      </w:r>
      <w:r w:rsidRPr="00FB58EA">
        <w:rPr>
          <w:rFonts w:ascii="楷体_GB2312" w:eastAsia="楷体_GB2312" w:cs="楷体_GB2312"/>
          <w:color w:val="000000"/>
          <w:spacing w:val="4"/>
          <w:kern w:val="0"/>
          <w:sz w:val="18"/>
          <w:szCs w:val="18"/>
          <w:lang w:val="zh-CN"/>
        </w:rPr>
        <w:t>001]</w:t>
      </w:r>
      <w:r w:rsidRPr="00FB58EA">
        <w:rPr>
          <w:rFonts w:ascii="楷体_GB2312" w:eastAsia="楷体_GB2312" w:cs="楷体_GB2312" w:hint="eastAsia"/>
          <w:color w:val="000000"/>
          <w:spacing w:val="4"/>
          <w:kern w:val="0"/>
          <w:sz w:val="18"/>
          <w:szCs w:val="18"/>
          <w:lang w:val="zh-CN"/>
        </w:rPr>
        <w:t>无统计学差异；操作时间</w:t>
      </w:r>
      <w:r w:rsidRPr="00FB58EA">
        <w:rPr>
          <w:rFonts w:ascii="楷体_GB2312" w:eastAsia="楷体_GB2312" w:cs="楷体_GB2312"/>
          <w:color w:val="000000"/>
          <w:spacing w:val="4"/>
          <w:kern w:val="0"/>
          <w:sz w:val="18"/>
          <w:szCs w:val="18"/>
          <w:lang w:val="zh-CN"/>
        </w:rPr>
        <w:t>[RR=-2.24</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95%CI</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-2.35</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color w:val="000000"/>
          <w:spacing w:val="4"/>
          <w:kern w:val="0"/>
          <w:sz w:val="18"/>
          <w:szCs w:val="18"/>
          <w:lang w:val="zh-CN"/>
        </w:rPr>
        <w:t>-2.13</w:t>
      </w:r>
      <w:r w:rsidRPr="00FB58EA">
        <w:rPr>
          <w:rFonts w:ascii="楷体_GB2312" w:eastAsia="楷体_GB2312" w:cs="楷体_GB2312" w:hint="eastAsia"/>
          <w:color w:val="000000"/>
          <w:spacing w:val="4"/>
          <w:kern w:val="0"/>
          <w:sz w:val="18"/>
          <w:szCs w:val="18"/>
          <w:lang w:val="zh-CN"/>
        </w:rPr>
        <w:t>）</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P</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0.00</w:t>
      </w:r>
      <w:r w:rsidRPr="00FB58EA">
        <w:rPr>
          <w:rFonts w:ascii="MS Gothic" w:eastAsia="MS Gothic" w:hAnsi="MS Gothic" w:cs="MS Gothic" w:hint="eastAsia"/>
          <w:color w:val="000000"/>
          <w:kern w:val="0"/>
          <w:sz w:val="18"/>
          <w:szCs w:val="18"/>
          <w:lang w:val="zh-CN"/>
        </w:rPr>
        <w:t> </w:t>
      </w:r>
      <w:r w:rsidRPr="00FB58EA">
        <w:rPr>
          <w:rFonts w:ascii="楷体_GB2312" w:eastAsia="楷体_GB2312" w:cs="楷体_GB2312"/>
          <w:color w:val="000000"/>
          <w:kern w:val="0"/>
          <w:sz w:val="18"/>
          <w:szCs w:val="18"/>
          <w:lang w:val="zh-CN"/>
        </w:rPr>
        <w:t>001]</w:t>
      </w:r>
      <w:r w:rsidRPr="00FB58EA">
        <w:rPr>
          <w:rFonts w:ascii="楷体_GB2312" w:eastAsia="楷体_GB2312" w:cs="楷体_GB2312" w:hint="eastAsia"/>
          <w:color w:val="000000"/>
          <w:kern w:val="0"/>
          <w:sz w:val="18"/>
          <w:szCs w:val="18"/>
          <w:lang w:val="zh-CN"/>
        </w:rPr>
        <w:t>和变色率</w:t>
      </w:r>
      <w:r w:rsidRPr="00FB58EA">
        <w:rPr>
          <w:rFonts w:ascii="楷体_GB2312" w:eastAsia="楷体_GB2312" w:cs="楷体_GB2312"/>
          <w:color w:val="000000"/>
          <w:kern w:val="0"/>
          <w:sz w:val="18"/>
          <w:szCs w:val="18"/>
          <w:lang w:val="zh-CN"/>
        </w:rPr>
        <w:t>[RR=0.11</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95%CI</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0.04</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0.29</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P</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0.00</w:t>
      </w:r>
      <w:r w:rsidRPr="00FB58EA">
        <w:rPr>
          <w:rFonts w:ascii="MS Gothic" w:eastAsia="MS Gothic" w:hAnsi="MS Gothic" w:cs="MS Gothic" w:hint="eastAsia"/>
          <w:color w:val="000000"/>
          <w:kern w:val="0"/>
          <w:sz w:val="18"/>
          <w:szCs w:val="18"/>
          <w:lang w:val="zh-CN"/>
        </w:rPr>
        <w:t> </w:t>
      </w:r>
      <w:r w:rsidRPr="00FB58EA">
        <w:rPr>
          <w:rFonts w:ascii="楷体_GB2312" w:eastAsia="楷体_GB2312" w:cs="楷体_GB2312"/>
          <w:color w:val="000000"/>
          <w:kern w:val="0"/>
          <w:sz w:val="18"/>
          <w:szCs w:val="18"/>
          <w:lang w:val="zh-CN"/>
        </w:rPr>
        <w:t>001]</w:t>
      </w:r>
      <w:r w:rsidRPr="00FB58EA">
        <w:rPr>
          <w:rFonts w:ascii="楷体_GB2312" w:eastAsia="楷体_GB2312" w:cs="楷体_GB2312" w:hint="eastAsia"/>
          <w:color w:val="000000"/>
          <w:kern w:val="0"/>
          <w:sz w:val="18"/>
          <w:szCs w:val="18"/>
          <w:lang w:val="zh-CN"/>
        </w:rPr>
        <w:t>比较，差异有统计学意义。</w:t>
      </w:r>
      <w:r w:rsidRPr="00FB58EA">
        <w:rPr>
          <w:rFonts w:ascii="黑体" w:eastAsia="黑体" w:cs="黑体" w:hint="eastAsia"/>
          <w:color w:val="000000"/>
          <w:kern w:val="0"/>
          <w:sz w:val="18"/>
          <w:szCs w:val="18"/>
          <w:lang w:val="zh-CN"/>
        </w:rPr>
        <w:t>结论：</w:t>
      </w:r>
      <w:r w:rsidRPr="00FB58EA">
        <w:rPr>
          <w:rFonts w:ascii="楷体_GB2312" w:eastAsia="楷体_GB2312" w:cs="楷体_GB2312" w:hint="eastAsia"/>
          <w:color w:val="000000"/>
          <w:kern w:val="0"/>
          <w:sz w:val="18"/>
          <w:szCs w:val="18"/>
          <w:lang w:val="zh-CN"/>
        </w:rPr>
        <w:t>当前证据表明，相比于</w:t>
      </w:r>
      <w:r w:rsidRPr="00FB58EA">
        <w:rPr>
          <w:rFonts w:ascii="楷体_GB2312" w:eastAsia="楷体_GB2312" w:cs="楷体_GB2312"/>
          <w:color w:val="000000"/>
          <w:kern w:val="0"/>
          <w:sz w:val="18"/>
          <w:szCs w:val="18"/>
          <w:lang w:val="zh-CN"/>
        </w:rPr>
        <w:t>MTA</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iRoot BP Plus</w:t>
      </w:r>
      <w:r w:rsidRPr="00FB58EA">
        <w:rPr>
          <w:rFonts w:ascii="楷体_GB2312" w:eastAsia="楷体_GB2312" w:cs="楷体_GB2312" w:hint="eastAsia"/>
          <w:color w:val="000000"/>
          <w:kern w:val="0"/>
          <w:sz w:val="18"/>
          <w:szCs w:val="18"/>
          <w:lang w:val="zh-CN"/>
        </w:rPr>
        <w:t>用于年轻恒牙直接盖髓术操作时间更短、变色率更低，成功率、钙化桥形成率差异不显著，但有更高的趋势，取得了更好的临床治疗效果。受纳入研究数量和质量限制，上述结论有待更多、更高质量</w:t>
      </w:r>
      <w:r w:rsidRPr="00FB58EA">
        <w:rPr>
          <w:rFonts w:ascii="楷体_GB2312" w:eastAsia="楷体_GB2312" w:cs="楷体_GB2312"/>
          <w:color w:val="000000"/>
          <w:kern w:val="0"/>
          <w:sz w:val="18"/>
          <w:szCs w:val="18"/>
          <w:lang w:val="zh-CN"/>
        </w:rPr>
        <w:t>RCTs</w:t>
      </w:r>
      <w:r w:rsidRPr="00FB58EA">
        <w:rPr>
          <w:rFonts w:ascii="楷体_GB2312" w:eastAsia="楷体_GB2312" w:cs="楷体_GB2312" w:hint="eastAsia"/>
          <w:color w:val="000000"/>
          <w:kern w:val="0"/>
          <w:sz w:val="18"/>
          <w:szCs w:val="18"/>
          <w:lang w:val="zh-CN"/>
        </w:rPr>
        <w:t>予以验证。</w:t>
      </w:r>
    </w:p>
    <w:p w14:paraId="500AF392" w14:textId="77777777" w:rsidR="00FB58EA" w:rsidRPr="00FB58EA" w:rsidRDefault="00FB58EA" w:rsidP="00FB58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B58EA">
        <w:rPr>
          <w:rFonts w:ascii="黑体" w:eastAsia="黑体" w:cs="黑体"/>
          <w:color w:val="000000"/>
          <w:kern w:val="0"/>
          <w:sz w:val="18"/>
          <w:szCs w:val="18"/>
          <w:lang w:val="zh-CN"/>
        </w:rPr>
        <w:t>[</w:t>
      </w:r>
      <w:r w:rsidRPr="00FB58EA">
        <w:rPr>
          <w:rFonts w:ascii="黑体" w:eastAsia="黑体" w:cs="黑体" w:hint="eastAsia"/>
          <w:color w:val="000000"/>
          <w:kern w:val="0"/>
          <w:sz w:val="18"/>
          <w:szCs w:val="18"/>
          <w:lang w:val="zh-CN"/>
        </w:rPr>
        <w:t>关键词</w:t>
      </w:r>
      <w:r w:rsidRPr="00FB58EA">
        <w:rPr>
          <w:rFonts w:ascii="黑体" w:eastAsia="黑体" w:cs="黑体"/>
          <w:color w:val="000000"/>
          <w:kern w:val="0"/>
          <w:sz w:val="18"/>
          <w:szCs w:val="18"/>
          <w:lang w:val="zh-CN"/>
        </w:rPr>
        <w:t>]</w:t>
      </w:r>
      <w:r w:rsidRPr="00FB58EA">
        <w:rPr>
          <w:rFonts w:ascii="楷体_GB2312" w:eastAsia="楷体_GB2312" w:cs="楷体_GB2312" w:hint="eastAsia"/>
          <w:color w:val="000000"/>
          <w:kern w:val="0"/>
          <w:sz w:val="18"/>
          <w:szCs w:val="18"/>
          <w:lang w:val="zh-CN"/>
        </w:rPr>
        <w:t>三氧化矿物凝聚体；</w:t>
      </w:r>
      <w:r w:rsidRPr="00FB58EA">
        <w:rPr>
          <w:rFonts w:ascii="楷体_GB2312" w:eastAsia="楷体_GB2312" w:cs="楷体_GB2312"/>
          <w:color w:val="000000"/>
          <w:kern w:val="0"/>
          <w:sz w:val="18"/>
          <w:szCs w:val="18"/>
          <w:lang w:val="zh-CN"/>
        </w:rPr>
        <w:t>iRoot BP Plus</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Meta</w:t>
      </w:r>
      <w:r w:rsidRPr="00FB58EA">
        <w:rPr>
          <w:rFonts w:ascii="楷体_GB2312" w:eastAsia="楷体_GB2312" w:cs="楷体_GB2312" w:hint="eastAsia"/>
          <w:color w:val="000000"/>
          <w:kern w:val="0"/>
          <w:sz w:val="18"/>
          <w:szCs w:val="18"/>
          <w:lang w:val="zh-CN"/>
        </w:rPr>
        <w:t>分析；系统评价；随机对照试验</w:t>
      </w:r>
    </w:p>
    <w:p w14:paraId="4F2EF7D6" w14:textId="77777777" w:rsidR="00FB58EA" w:rsidRPr="00FB58EA" w:rsidRDefault="00FB58EA" w:rsidP="00FB58E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B58EA">
        <w:rPr>
          <w:rFonts w:ascii="黑体" w:eastAsia="黑体" w:cs="黑体"/>
          <w:color w:val="000000"/>
          <w:kern w:val="0"/>
          <w:sz w:val="18"/>
          <w:szCs w:val="18"/>
          <w:lang w:val="zh-CN"/>
        </w:rPr>
        <w:t>[</w:t>
      </w:r>
      <w:r w:rsidRPr="00FB58EA">
        <w:rPr>
          <w:rFonts w:ascii="黑体" w:eastAsia="黑体" w:cs="黑体" w:hint="eastAsia"/>
          <w:color w:val="000000"/>
          <w:kern w:val="0"/>
          <w:sz w:val="18"/>
          <w:szCs w:val="18"/>
          <w:lang w:val="zh-CN"/>
        </w:rPr>
        <w:t>中图分类号</w:t>
      </w:r>
      <w:r w:rsidRPr="00FB58EA">
        <w:rPr>
          <w:rFonts w:ascii="黑体" w:eastAsia="黑体" w:cs="黑体"/>
          <w:color w:val="000000"/>
          <w:kern w:val="0"/>
          <w:sz w:val="18"/>
          <w:szCs w:val="18"/>
          <w:lang w:val="zh-CN"/>
        </w:rPr>
        <w:t>]</w:t>
      </w:r>
      <w:r w:rsidRPr="00FB58EA">
        <w:rPr>
          <w:rFonts w:ascii="楷体_GB2312" w:eastAsia="楷体_GB2312" w:cs="楷体_GB2312"/>
          <w:color w:val="000000"/>
          <w:kern w:val="0"/>
          <w:sz w:val="18"/>
          <w:szCs w:val="18"/>
          <w:lang w:val="zh-CN"/>
        </w:rPr>
        <w:t>R781.4</w:t>
      </w:r>
      <w:r w:rsidRPr="00FB58EA">
        <w:rPr>
          <w:rFonts w:ascii="楷体_GB2312" w:eastAsia="楷体_GB2312" w:cs="楷体_GB2312"/>
          <w:color w:val="000000"/>
          <w:kern w:val="0"/>
          <w:sz w:val="18"/>
          <w:szCs w:val="18"/>
          <w:vertAlign w:val="superscript"/>
          <w:lang w:val="zh-CN"/>
        </w:rPr>
        <w:t>+</w:t>
      </w:r>
      <w:r w:rsidRPr="00FB58EA">
        <w:rPr>
          <w:rFonts w:ascii="楷体_GB2312" w:eastAsia="楷体_GB2312" w:cs="楷体_GB2312"/>
          <w:color w:val="000000"/>
          <w:kern w:val="0"/>
          <w:sz w:val="18"/>
          <w:szCs w:val="18"/>
          <w:lang w:val="zh-CN"/>
        </w:rPr>
        <w:t xml:space="preserve">2   </w:t>
      </w:r>
      <w:r w:rsidRPr="00FB58EA">
        <w:rPr>
          <w:rFonts w:ascii="黑体" w:eastAsia="黑体" w:cs="黑体"/>
          <w:color w:val="000000"/>
          <w:kern w:val="0"/>
          <w:sz w:val="18"/>
          <w:szCs w:val="18"/>
          <w:lang w:val="zh-CN"/>
        </w:rPr>
        <w:t xml:space="preserve"> [</w:t>
      </w:r>
      <w:r w:rsidRPr="00FB58EA">
        <w:rPr>
          <w:rFonts w:ascii="黑体" w:eastAsia="黑体" w:cs="黑体" w:hint="eastAsia"/>
          <w:color w:val="000000"/>
          <w:kern w:val="0"/>
          <w:sz w:val="18"/>
          <w:szCs w:val="18"/>
          <w:lang w:val="zh-CN"/>
        </w:rPr>
        <w:t>文献标志码</w:t>
      </w:r>
      <w:r w:rsidRPr="00FB58EA">
        <w:rPr>
          <w:rFonts w:ascii="黑体" w:eastAsia="黑体" w:cs="黑体"/>
          <w:color w:val="000000"/>
          <w:kern w:val="0"/>
          <w:sz w:val="18"/>
          <w:szCs w:val="18"/>
          <w:lang w:val="zh-CN"/>
        </w:rPr>
        <w:t>]</w:t>
      </w:r>
      <w:r w:rsidRPr="00FB58EA">
        <w:rPr>
          <w:rFonts w:ascii="楷体_GB2312" w:eastAsia="楷体_GB2312" w:cs="楷体_GB2312"/>
          <w:color w:val="000000"/>
          <w:kern w:val="0"/>
          <w:sz w:val="18"/>
          <w:szCs w:val="18"/>
          <w:lang w:val="zh-CN"/>
        </w:rPr>
        <w:t xml:space="preserve">A   </w:t>
      </w:r>
      <w:r w:rsidRPr="00FB58EA">
        <w:rPr>
          <w:rFonts w:ascii="黑体" w:eastAsia="黑体" w:cs="黑体"/>
          <w:color w:val="000000"/>
          <w:kern w:val="0"/>
          <w:sz w:val="18"/>
          <w:szCs w:val="18"/>
          <w:lang w:val="zh-CN"/>
        </w:rPr>
        <w:t xml:space="preserve"> [</w:t>
      </w:r>
      <w:r w:rsidRPr="00FB58EA">
        <w:rPr>
          <w:rFonts w:ascii="黑体" w:eastAsia="黑体" w:cs="黑体" w:hint="eastAsia"/>
          <w:color w:val="000000"/>
          <w:kern w:val="0"/>
          <w:sz w:val="18"/>
          <w:szCs w:val="18"/>
          <w:lang w:val="zh-CN"/>
        </w:rPr>
        <w:t>文章编号</w:t>
      </w:r>
      <w:r w:rsidRPr="00FB58EA">
        <w:rPr>
          <w:rFonts w:ascii="黑体" w:eastAsia="黑体" w:cs="黑体"/>
          <w:color w:val="000000"/>
          <w:kern w:val="0"/>
          <w:sz w:val="18"/>
          <w:szCs w:val="18"/>
          <w:lang w:val="zh-CN"/>
        </w:rPr>
        <w:t>]</w:t>
      </w:r>
      <w:r w:rsidRPr="00FB58EA">
        <w:rPr>
          <w:rFonts w:ascii="楷体_GB2312" w:eastAsia="楷体_GB2312" w:cs="楷体_GB2312"/>
          <w:color w:val="000000"/>
          <w:kern w:val="0"/>
          <w:sz w:val="18"/>
          <w:szCs w:val="18"/>
          <w:lang w:val="zh-CN"/>
        </w:rPr>
        <w:t>1008-6455</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2022</w:t>
      </w:r>
      <w:r w:rsidRPr="00FB58EA">
        <w:rPr>
          <w:rFonts w:ascii="楷体_GB2312" w:eastAsia="楷体_GB2312" w:cs="楷体_GB2312" w:hint="eastAsia"/>
          <w:color w:val="000000"/>
          <w:kern w:val="0"/>
          <w:sz w:val="18"/>
          <w:szCs w:val="18"/>
          <w:lang w:val="zh-CN"/>
        </w:rPr>
        <w:t>）</w:t>
      </w:r>
      <w:r w:rsidRPr="00FB58EA">
        <w:rPr>
          <w:rFonts w:ascii="楷体_GB2312" w:eastAsia="楷体_GB2312" w:cs="楷体_GB2312"/>
          <w:color w:val="000000"/>
          <w:kern w:val="0"/>
          <w:sz w:val="18"/>
          <w:szCs w:val="18"/>
          <w:lang w:val="zh-CN"/>
        </w:rPr>
        <w:t>02-0112-04</w:t>
      </w:r>
    </w:p>
    <w:p w14:paraId="57E6B7BD" w14:textId="77777777" w:rsidR="00FB58EA" w:rsidRPr="00FB58EA" w:rsidRDefault="00FB58EA" w:rsidP="00FB58E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4923B62F" w14:textId="77777777" w:rsidR="00FB58EA" w:rsidRPr="00FB58EA" w:rsidRDefault="00FB58EA" w:rsidP="00FB58E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FB58EA">
        <w:rPr>
          <w:rFonts w:ascii="ITC Avant Garde Gothic Demi" w:eastAsia="方正小标宋_GBK" w:hAnsi="ITC Avant Garde Gothic Demi" w:cs="ITC Avant Garde Gothic Demi"/>
          <w:color w:val="920883"/>
          <w:kern w:val="0"/>
          <w:sz w:val="24"/>
          <w:szCs w:val="24"/>
        </w:rPr>
        <w:t>Meta-analysis of the Effectiveness of iRoot BP Plus Versus MTA in Direct Pulp Capping of Young Permanent Teeth</w:t>
      </w:r>
    </w:p>
    <w:p w14:paraId="7A1111D2" w14:textId="77777777" w:rsidR="00FB58EA" w:rsidRPr="00FB58EA" w:rsidRDefault="00FB58EA" w:rsidP="00FB58E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FB58EA">
        <w:rPr>
          <w:rFonts w:ascii="方正兰亭中黑_GBK" w:eastAsia="方正兰亭中黑_GBK" w:cs="方正兰亭中黑_GBK"/>
          <w:color w:val="000000"/>
          <w:kern w:val="0"/>
          <w:sz w:val="18"/>
          <w:szCs w:val="18"/>
        </w:rPr>
        <w:t>QIN Yuan</w:t>
      </w:r>
      <w:r w:rsidRPr="00FB58EA">
        <w:rPr>
          <w:rFonts w:ascii="方正兰亭中黑_GBK" w:eastAsia="方正兰亭中黑_GBK" w:cs="方正兰亭中黑_GBK"/>
          <w:color w:val="000000"/>
          <w:kern w:val="0"/>
          <w:sz w:val="18"/>
          <w:szCs w:val="18"/>
          <w:vertAlign w:val="superscript"/>
        </w:rPr>
        <w:t>1</w:t>
      </w:r>
      <w:r w:rsidRPr="00FB58EA">
        <w:rPr>
          <w:rFonts w:ascii="方正兰亭中黑_GBK" w:eastAsia="方正兰亭中黑_GBK" w:cs="方正兰亭中黑_GBK"/>
          <w:color w:val="000000"/>
          <w:kern w:val="0"/>
          <w:sz w:val="18"/>
          <w:szCs w:val="18"/>
        </w:rPr>
        <w:t>, ZHANG Xue</w:t>
      </w:r>
      <w:r w:rsidRPr="00FB58EA">
        <w:rPr>
          <w:rFonts w:ascii="方正兰亭中黑_GBK" w:eastAsia="方正兰亭中黑_GBK" w:cs="方正兰亭中黑_GBK"/>
          <w:color w:val="000000"/>
          <w:kern w:val="0"/>
          <w:sz w:val="18"/>
          <w:szCs w:val="18"/>
          <w:vertAlign w:val="superscript"/>
        </w:rPr>
        <w:t>2</w:t>
      </w:r>
      <w:r w:rsidRPr="00FB58EA">
        <w:rPr>
          <w:rFonts w:ascii="方正兰亭中黑_GBK" w:eastAsia="方正兰亭中黑_GBK" w:cs="方正兰亭中黑_GBK"/>
          <w:color w:val="000000"/>
          <w:kern w:val="0"/>
          <w:sz w:val="18"/>
          <w:szCs w:val="18"/>
        </w:rPr>
        <w:t>, QUAN Qian</w:t>
      </w:r>
      <w:r w:rsidRPr="00FB58EA">
        <w:rPr>
          <w:rFonts w:ascii="方正兰亭中黑_GBK" w:eastAsia="方正兰亭中黑_GBK" w:cs="方正兰亭中黑_GBK"/>
          <w:color w:val="000000"/>
          <w:kern w:val="0"/>
          <w:sz w:val="18"/>
          <w:szCs w:val="18"/>
          <w:vertAlign w:val="superscript"/>
        </w:rPr>
        <w:t>1</w:t>
      </w:r>
      <w:r w:rsidRPr="00FB58EA">
        <w:rPr>
          <w:rFonts w:ascii="方正兰亭中黑_GBK" w:eastAsia="方正兰亭中黑_GBK" w:cs="方正兰亭中黑_GBK"/>
          <w:color w:val="000000"/>
          <w:kern w:val="0"/>
          <w:sz w:val="18"/>
          <w:szCs w:val="18"/>
        </w:rPr>
        <w:t>, DONG Taiwei</w:t>
      </w:r>
      <w:r w:rsidRPr="00FB58EA">
        <w:rPr>
          <w:rFonts w:ascii="方正兰亭中黑_GBK" w:eastAsia="方正兰亭中黑_GBK" w:cs="方正兰亭中黑_GBK"/>
          <w:color w:val="000000"/>
          <w:kern w:val="0"/>
          <w:sz w:val="18"/>
          <w:szCs w:val="18"/>
          <w:vertAlign w:val="superscript"/>
        </w:rPr>
        <w:t>3</w:t>
      </w:r>
    </w:p>
    <w:p w14:paraId="7BE5A2F1" w14:textId="77777777" w:rsidR="00FB58EA" w:rsidRPr="00FB58EA" w:rsidRDefault="00FB58EA" w:rsidP="00FB58E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FB58EA">
        <w:rPr>
          <w:rFonts w:ascii="Times New Roman" w:eastAsia="方正小标宋_GBK" w:hAnsi="Times New Roman" w:cs="Times New Roman"/>
          <w:color w:val="000000"/>
          <w:kern w:val="0"/>
          <w:sz w:val="19"/>
          <w:szCs w:val="19"/>
        </w:rPr>
        <w:t>(1.State Key Laboratory of Military Stomatology, National Clinical Research Center for Oral Diseases, Shaanxi International Joint Research Center for Oral Diseases, Department of General Dentistry &amp;Emergency,School of Stomatology,the Fourth Military Medical University,Xi’an 710032,Shaanxi,China;2.Tangshan Central Hospital,Tangshan 063000,Hebei,China; 3.School of Pharmacy, Shaanxi University of Traditional Chinese Medicine, Xianyang 712046,Shaanxi,China)</w:t>
      </w:r>
    </w:p>
    <w:p w14:paraId="33A8E8EB" w14:textId="77777777" w:rsidR="00FB58EA" w:rsidRPr="00FB58EA" w:rsidRDefault="00FB58EA" w:rsidP="00FB58E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71FC5277" w14:textId="77777777" w:rsidR="00FB58EA" w:rsidRPr="00FB58EA" w:rsidRDefault="00FB58EA" w:rsidP="00FB58E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B58EA">
        <w:rPr>
          <w:rFonts w:ascii="Didot HTF-B06-" w:eastAsia="方正小标宋_GBK" w:hAnsi="Didot HTF-B06-" w:cs="Didot HTF-B06-"/>
          <w:b/>
          <w:bCs/>
          <w:color w:val="000000"/>
          <w:kern w:val="0"/>
          <w:sz w:val="19"/>
          <w:szCs w:val="19"/>
        </w:rPr>
        <w:t xml:space="preserve">Abstract: Objective </w:t>
      </w:r>
      <w:r w:rsidRPr="00FB58EA">
        <w:rPr>
          <w:rFonts w:ascii="Times New Roman" w:eastAsia="方正小标宋_GBK" w:hAnsi="Times New Roman" w:cs="Times New Roman"/>
          <w:color w:val="000000"/>
          <w:kern w:val="0"/>
          <w:sz w:val="19"/>
          <w:szCs w:val="19"/>
        </w:rPr>
        <w:t xml:space="preserve"> To evaluate the efficacy of iRoot BP Plus in direct pulp capping of young permanent teeth compared with MTA by meta-analysis. </w:t>
      </w:r>
      <w:r w:rsidRPr="00FB58EA">
        <w:rPr>
          <w:rFonts w:ascii="Didot HTF-B06-" w:eastAsia="方正小标宋_GBK" w:hAnsi="Didot HTF-B06-" w:cs="Didot HTF-B06-"/>
          <w:b/>
          <w:bCs/>
          <w:color w:val="000000"/>
          <w:kern w:val="0"/>
          <w:sz w:val="19"/>
          <w:szCs w:val="19"/>
        </w:rPr>
        <w:t xml:space="preserve">Methods </w:t>
      </w:r>
      <w:r w:rsidRPr="00FB58EA">
        <w:rPr>
          <w:rFonts w:ascii="Times New Roman" w:eastAsia="方正小标宋_GBK" w:hAnsi="Times New Roman" w:cs="Times New Roman"/>
          <w:color w:val="000000"/>
          <w:kern w:val="0"/>
          <w:sz w:val="19"/>
          <w:szCs w:val="19"/>
        </w:rPr>
        <w:t xml:space="preserve"> The randomized controlled trials (RCTs) of iRoot BP Plus and MTA for direct pulp capping of young permanent teeth included in VIP, WanFang Data and CNKI, PubMed and Cochrane Library databases were searched by computer from the database establishment to April 12, 2020. After data extraction and evaluation, the Review Manager 5.3 software was used for meta-analysis. Review Manager 5.3 software was used for meta-analysis after two researchers indepe</w:t>
      </w:r>
      <w:r w:rsidRPr="00FB58EA">
        <w:rPr>
          <w:rFonts w:ascii="Times New Roman" w:eastAsia="方正小标宋_GBK" w:hAnsi="Times New Roman" w:cs="Times New Roman"/>
          <w:color w:val="000000"/>
          <w:spacing w:val="8"/>
          <w:kern w:val="0"/>
          <w:sz w:val="19"/>
          <w:szCs w:val="19"/>
        </w:rPr>
        <w:t xml:space="preserve">ndently screened the literature, extracted the data and evaluated the risk of bias included in the study. </w:t>
      </w:r>
      <w:r w:rsidRPr="00FB58EA">
        <w:rPr>
          <w:rFonts w:ascii="Didot HTF-B06-" w:eastAsia="方正小标宋_GBK" w:hAnsi="Didot HTF-B06-" w:cs="Didot HTF-B06-"/>
          <w:b/>
          <w:bCs/>
          <w:color w:val="000000"/>
          <w:spacing w:val="8"/>
          <w:kern w:val="0"/>
          <w:sz w:val="19"/>
          <w:szCs w:val="19"/>
        </w:rPr>
        <w:t xml:space="preserve">Results </w:t>
      </w:r>
      <w:r w:rsidRPr="00FB58EA">
        <w:rPr>
          <w:rFonts w:ascii="Times New Roman" w:eastAsia="方正小标宋_GBK" w:hAnsi="Times New Roman" w:cs="Times New Roman"/>
          <w:color w:val="000000"/>
          <w:spacing w:val="8"/>
          <w:kern w:val="0"/>
          <w:sz w:val="19"/>
          <w:szCs w:val="19"/>
        </w:rPr>
        <w:t xml:space="preserve"> A total of 8 RCTs were included, including 426 patients. There is no significant difference between iRoot BP Plus and MTA in success rate [RR=1.04, 95%CI (0.98,1.11), P</w:t>
      </w:r>
      <w:r w:rsidRPr="00FB58EA">
        <w:rPr>
          <w:rFonts w:ascii="宋体" w:eastAsia="宋体" w:hAnsi="Times New Roman" w:cs="宋体" w:hint="eastAsia"/>
          <w:color w:val="000000"/>
          <w:spacing w:val="8"/>
          <w:kern w:val="0"/>
          <w:sz w:val="19"/>
          <w:szCs w:val="19"/>
        </w:rPr>
        <w:t>＞</w:t>
      </w:r>
      <w:r w:rsidRPr="00FB58EA">
        <w:rPr>
          <w:rFonts w:ascii="Times New Roman" w:eastAsia="方正小标宋_GBK" w:hAnsi="Times New Roman" w:cs="Times New Roman"/>
          <w:color w:val="000000"/>
          <w:spacing w:val="8"/>
          <w:kern w:val="0"/>
          <w:sz w:val="19"/>
          <w:szCs w:val="19"/>
        </w:rPr>
        <w:t>0.00 001] and calcification bridge formation rate [RR=1.01, 95%CI (0.91,1.12), P</w:t>
      </w:r>
      <w:r w:rsidRPr="00FB58EA">
        <w:rPr>
          <w:rFonts w:ascii="宋体" w:eastAsia="宋体" w:hAnsi="Times New Roman" w:cs="宋体" w:hint="eastAsia"/>
          <w:color w:val="000000"/>
          <w:spacing w:val="8"/>
          <w:kern w:val="0"/>
          <w:sz w:val="19"/>
          <w:szCs w:val="19"/>
        </w:rPr>
        <w:t>＞</w:t>
      </w:r>
      <w:r w:rsidRPr="00FB58EA">
        <w:rPr>
          <w:rFonts w:ascii="Times New Roman" w:eastAsia="方正小标宋_GBK" w:hAnsi="Times New Roman" w:cs="Times New Roman"/>
          <w:color w:val="000000"/>
          <w:spacing w:val="8"/>
          <w:kern w:val="0"/>
          <w:sz w:val="19"/>
          <w:szCs w:val="19"/>
        </w:rPr>
        <w:t>0.00 001]. T</w:t>
      </w:r>
      <w:r w:rsidRPr="00FB58EA">
        <w:rPr>
          <w:rFonts w:ascii="Times New Roman" w:eastAsia="方正小标宋_GBK" w:hAnsi="Times New Roman" w:cs="Times New Roman"/>
          <w:color w:val="000000"/>
          <w:kern w:val="0"/>
          <w:sz w:val="19"/>
          <w:szCs w:val="19"/>
        </w:rPr>
        <w:t>here is statistically significant difference in operation time [RR=-2.24, 95%CI (-2.35, -2.13), P</w:t>
      </w:r>
      <w:r w:rsidRPr="00FB58EA">
        <w:rPr>
          <w:rFonts w:ascii="宋体" w:eastAsia="宋体" w:hAnsi="Times New Roman" w:cs="宋体" w:hint="eastAsia"/>
          <w:color w:val="000000"/>
          <w:kern w:val="0"/>
          <w:sz w:val="19"/>
          <w:szCs w:val="19"/>
        </w:rPr>
        <w:t>＜</w:t>
      </w:r>
      <w:r w:rsidRPr="00FB58EA">
        <w:rPr>
          <w:rFonts w:ascii="Times New Roman" w:eastAsia="方正小标宋_GBK" w:hAnsi="Times New Roman" w:cs="Times New Roman"/>
          <w:color w:val="000000"/>
          <w:kern w:val="0"/>
          <w:sz w:val="19"/>
          <w:szCs w:val="19"/>
        </w:rPr>
        <w:t>0.00 001] and color change rate [RR=0.11, 95%CI (0.04, 0.29), P</w:t>
      </w:r>
      <w:r w:rsidRPr="00FB58EA">
        <w:rPr>
          <w:rFonts w:ascii="宋体" w:eastAsia="宋体" w:hAnsi="Times New Roman" w:cs="宋体" w:hint="eastAsia"/>
          <w:color w:val="000000"/>
          <w:kern w:val="0"/>
          <w:sz w:val="19"/>
          <w:szCs w:val="19"/>
        </w:rPr>
        <w:t>＜</w:t>
      </w:r>
      <w:r w:rsidRPr="00FB58EA">
        <w:rPr>
          <w:rFonts w:ascii="Times New Roman" w:eastAsia="方正小标宋_GBK" w:hAnsi="Times New Roman" w:cs="Times New Roman"/>
          <w:color w:val="000000"/>
          <w:kern w:val="0"/>
          <w:sz w:val="19"/>
          <w:szCs w:val="19"/>
        </w:rPr>
        <w:t xml:space="preserve">0.00 001]. </w:t>
      </w:r>
      <w:r w:rsidRPr="00FB58EA">
        <w:rPr>
          <w:rFonts w:ascii="Didot HTF-B06-" w:eastAsia="方正小标宋_GBK" w:hAnsi="Didot HTF-B06-" w:cs="Didot HTF-B06-"/>
          <w:b/>
          <w:bCs/>
          <w:color w:val="000000"/>
          <w:kern w:val="0"/>
          <w:sz w:val="19"/>
          <w:szCs w:val="19"/>
        </w:rPr>
        <w:t>Conclusion</w:t>
      </w:r>
      <w:r w:rsidRPr="00FB58EA">
        <w:rPr>
          <w:rFonts w:ascii="Times New Roman" w:eastAsia="方正小标宋_GBK" w:hAnsi="Times New Roman" w:cs="Times New Roman"/>
          <w:color w:val="000000"/>
          <w:kern w:val="0"/>
          <w:sz w:val="19"/>
          <w:szCs w:val="19"/>
        </w:rPr>
        <w:t xml:space="preserve">  The current evidence shows that iRoot BP Plus has a shorter operation time, lower discoloration rate and no significant difference in success rate and calciCIfication bridge formation rate compared with MTA for direct pulp capping of young permanent teeth,but it has a higher trend and can achieve better clinical treatment effect. Limited by the quantity and quality of the included studies, the above conclusions need to be verified by more high-quality RCTs.</w:t>
      </w:r>
    </w:p>
    <w:p w14:paraId="77F489ED" w14:textId="77777777" w:rsidR="00FB58EA" w:rsidRPr="00FB58EA" w:rsidRDefault="00FB58EA" w:rsidP="00FB58E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B58EA">
        <w:rPr>
          <w:rFonts w:ascii="Didot HTF-B06-" w:eastAsia="方正小标宋_GBK" w:hAnsi="Didot HTF-B06-" w:cs="Didot HTF-B06-"/>
          <w:b/>
          <w:bCs/>
          <w:color w:val="000000"/>
          <w:kern w:val="0"/>
          <w:sz w:val="19"/>
          <w:szCs w:val="19"/>
        </w:rPr>
        <w:t>Key words:</w:t>
      </w:r>
      <w:r w:rsidRPr="00FB58EA">
        <w:rPr>
          <w:rFonts w:ascii="Times New Roman" w:eastAsia="方正小标宋_GBK" w:hAnsi="Times New Roman" w:cs="Times New Roman"/>
          <w:color w:val="000000"/>
          <w:kern w:val="0"/>
          <w:sz w:val="19"/>
          <w:szCs w:val="19"/>
        </w:rPr>
        <w:t xml:space="preserve"> mineral trioxide aggregate; iRoot BP Plus; Meta analysis; systematic evaluation; randomized controlled trial</w:t>
      </w:r>
    </w:p>
    <w:p w14:paraId="3BA1F469" w14:textId="20C2C3AB" w:rsidR="00BA7C01" w:rsidRPr="00FB58EA" w:rsidRDefault="00BA7C01" w:rsidP="00FB58EA"/>
    <w:sectPr w:rsidR="00BA7C01" w:rsidRPr="00FB58EA" w:rsidSect="00E61C3F">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46274"/>
    <w:rsid w:val="00073129"/>
    <w:rsid w:val="00263E1B"/>
    <w:rsid w:val="0029201E"/>
    <w:rsid w:val="003A32F2"/>
    <w:rsid w:val="003B18A2"/>
    <w:rsid w:val="0040017D"/>
    <w:rsid w:val="004A2446"/>
    <w:rsid w:val="004B3559"/>
    <w:rsid w:val="0052503D"/>
    <w:rsid w:val="00647A10"/>
    <w:rsid w:val="00683D5C"/>
    <w:rsid w:val="00745F53"/>
    <w:rsid w:val="008D3F44"/>
    <w:rsid w:val="00B80045"/>
    <w:rsid w:val="00BA18EC"/>
    <w:rsid w:val="00BA7C01"/>
    <w:rsid w:val="00C412BA"/>
    <w:rsid w:val="00C4673F"/>
    <w:rsid w:val="00CA62A7"/>
    <w:rsid w:val="00CB3243"/>
    <w:rsid w:val="00DF5338"/>
    <w:rsid w:val="00F76725"/>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Pages>
  <Words>485</Words>
  <Characters>2767</Characters>
  <Application>Microsoft Office Word</Application>
  <DocSecurity>0</DocSecurity>
  <Lines>23</Lines>
  <Paragraphs>6</Paragraphs>
  <ScaleCrop>false</ScaleCrop>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2022-03-07T01:53:00Z</dcterms:created>
  <dcterms:modified xsi:type="dcterms:W3CDTF">2022-03-08T02:11:00Z</dcterms:modified>
</cp:coreProperties>
</file>