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B9988" w14:textId="77777777" w:rsidR="00F63C76" w:rsidRPr="00F63C76" w:rsidRDefault="00F63C76" w:rsidP="00F63C76">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F63C76">
        <w:rPr>
          <w:rFonts w:ascii="方正小标宋_GBK" w:eastAsia="方正小标宋_GBK" w:cs="方正小标宋_GBK" w:hint="eastAsia"/>
          <w:color w:val="000000"/>
          <w:kern w:val="0"/>
          <w:sz w:val="30"/>
          <w:szCs w:val="30"/>
          <w:lang w:val="zh-CN"/>
        </w:rPr>
        <w:t>一次性和多次根管治疗对根尖周炎的疗效对比</w:t>
      </w:r>
    </w:p>
    <w:p w14:paraId="0D0DC3F6" w14:textId="77777777" w:rsidR="00F63C76" w:rsidRPr="00F63C76" w:rsidRDefault="00F63C76" w:rsidP="00F63C76">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F63C76">
        <w:rPr>
          <w:rFonts w:ascii="方正楷体_GBK" w:eastAsia="方正楷体_GBK" w:cs="方正楷体_GBK" w:hint="eastAsia"/>
          <w:color w:val="000000"/>
          <w:kern w:val="0"/>
          <w:sz w:val="24"/>
          <w:szCs w:val="24"/>
          <w:lang w:val="zh-CN"/>
        </w:rPr>
        <w:t>陈星羽，薛雅琴，张</w:t>
      </w:r>
      <w:r w:rsidRPr="00F63C76">
        <w:rPr>
          <w:rFonts w:ascii="方正楷体_GBK" w:eastAsia="方正楷体_GBK" w:cs="方正楷体_GBK"/>
          <w:color w:val="000000"/>
          <w:kern w:val="0"/>
          <w:sz w:val="24"/>
          <w:szCs w:val="24"/>
          <w:lang w:val="zh-CN"/>
        </w:rPr>
        <w:t xml:space="preserve"> </w:t>
      </w:r>
      <w:r w:rsidRPr="00F63C76">
        <w:rPr>
          <w:rFonts w:ascii="方正楷体_GBK" w:eastAsia="方正楷体_GBK" w:cs="方正楷体_GBK" w:hint="eastAsia"/>
          <w:color w:val="000000"/>
          <w:kern w:val="0"/>
          <w:sz w:val="24"/>
          <w:szCs w:val="24"/>
          <w:lang w:val="zh-CN"/>
        </w:rPr>
        <w:t>宁</w:t>
      </w:r>
      <w:r w:rsidRPr="00F63C76">
        <w:rPr>
          <w:rFonts w:ascii="方正楷体_GBK" w:eastAsia="方正楷体_GBK" w:cs="方正楷体_GBK"/>
          <w:color w:val="000000"/>
          <w:kern w:val="0"/>
          <w:sz w:val="24"/>
          <w:szCs w:val="24"/>
          <w:lang w:val="zh-CN"/>
        </w:rPr>
        <w:t xml:space="preserve"> </w:t>
      </w:r>
    </w:p>
    <w:p w14:paraId="642367C4" w14:textId="77777777" w:rsidR="00F63C76" w:rsidRPr="00F63C76" w:rsidRDefault="00F63C76" w:rsidP="00F63C76">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F63C76">
        <w:rPr>
          <w:rFonts w:ascii="方正楷体_GBK" w:eastAsia="方正楷体_GBK" w:cs="方正楷体_GBK" w:hint="eastAsia"/>
          <w:color w:val="000000"/>
          <w:kern w:val="0"/>
          <w:sz w:val="18"/>
          <w:szCs w:val="18"/>
          <w:lang w:val="zh-CN"/>
        </w:rPr>
        <w:t>（南京大学医学院附属口腔医院</w:t>
      </w:r>
      <w:r w:rsidRPr="00F63C76">
        <w:rPr>
          <w:rFonts w:ascii="方正楷体_GBK" w:eastAsia="方正楷体_GBK" w:cs="方正楷体_GBK"/>
          <w:color w:val="000000"/>
          <w:kern w:val="0"/>
          <w:sz w:val="18"/>
          <w:szCs w:val="18"/>
          <w:lang w:val="zh-CN"/>
        </w:rPr>
        <w:t xml:space="preserve"> </w:t>
      </w:r>
      <w:r w:rsidRPr="00F63C76">
        <w:rPr>
          <w:rFonts w:ascii="方正楷体_GBK" w:eastAsia="方正楷体_GBK" w:cs="方正楷体_GBK" w:hint="eastAsia"/>
          <w:color w:val="000000"/>
          <w:kern w:val="0"/>
          <w:sz w:val="18"/>
          <w:szCs w:val="18"/>
          <w:lang w:val="zh-CN"/>
        </w:rPr>
        <w:t>南京市口腔医院高级专家诊疗科</w:t>
      </w:r>
      <w:r w:rsidRPr="00F63C76">
        <w:rPr>
          <w:rFonts w:ascii="方正楷体_GBK" w:eastAsia="方正楷体_GBK" w:cs="方正楷体_GBK"/>
          <w:color w:val="000000"/>
          <w:kern w:val="0"/>
          <w:sz w:val="18"/>
          <w:szCs w:val="18"/>
          <w:lang w:val="zh-CN"/>
        </w:rPr>
        <w:t xml:space="preserve">  </w:t>
      </w:r>
      <w:r w:rsidRPr="00F63C76">
        <w:rPr>
          <w:rFonts w:ascii="方正楷体_GBK" w:eastAsia="方正楷体_GBK" w:cs="方正楷体_GBK" w:hint="eastAsia"/>
          <w:color w:val="000000"/>
          <w:kern w:val="0"/>
          <w:sz w:val="18"/>
          <w:szCs w:val="18"/>
          <w:lang w:val="zh-CN"/>
        </w:rPr>
        <w:t>江苏</w:t>
      </w:r>
      <w:r w:rsidRPr="00F63C76">
        <w:rPr>
          <w:rFonts w:ascii="方正楷体_GBK" w:eastAsia="方正楷体_GBK" w:cs="方正楷体_GBK"/>
          <w:color w:val="000000"/>
          <w:kern w:val="0"/>
          <w:sz w:val="18"/>
          <w:szCs w:val="18"/>
          <w:lang w:val="zh-CN"/>
        </w:rPr>
        <w:t xml:space="preserve"> </w:t>
      </w:r>
      <w:r w:rsidRPr="00F63C76">
        <w:rPr>
          <w:rFonts w:ascii="方正楷体_GBK" w:eastAsia="方正楷体_GBK" w:cs="方正楷体_GBK" w:hint="eastAsia"/>
          <w:color w:val="000000"/>
          <w:kern w:val="0"/>
          <w:sz w:val="18"/>
          <w:szCs w:val="18"/>
          <w:lang w:val="zh-CN"/>
        </w:rPr>
        <w:t>南京</w:t>
      </w:r>
      <w:r w:rsidRPr="00F63C76">
        <w:rPr>
          <w:rFonts w:ascii="方正楷体_GBK" w:eastAsia="方正楷体_GBK" w:cs="方正楷体_GBK"/>
          <w:color w:val="000000"/>
          <w:kern w:val="0"/>
          <w:sz w:val="18"/>
          <w:szCs w:val="18"/>
          <w:lang w:val="zh-CN"/>
        </w:rPr>
        <w:t xml:space="preserve">  210008</w:t>
      </w:r>
      <w:r w:rsidRPr="00F63C76">
        <w:rPr>
          <w:rFonts w:ascii="方正楷体_GBK" w:eastAsia="方正楷体_GBK" w:cs="方正楷体_GBK" w:hint="eastAsia"/>
          <w:color w:val="000000"/>
          <w:kern w:val="0"/>
          <w:sz w:val="18"/>
          <w:szCs w:val="18"/>
          <w:lang w:val="zh-CN"/>
        </w:rPr>
        <w:t>）</w:t>
      </w:r>
    </w:p>
    <w:p w14:paraId="3D50BB45" w14:textId="77777777" w:rsidR="00F63C76" w:rsidRPr="00F63C76" w:rsidRDefault="00F63C76" w:rsidP="00F63C7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5D2D2393" w14:textId="77777777" w:rsidR="00F63C76" w:rsidRPr="00F63C76" w:rsidRDefault="00F63C76" w:rsidP="00F63C7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63C76">
        <w:rPr>
          <w:rFonts w:ascii="黑体" w:eastAsia="黑体" w:cs="黑体"/>
          <w:color w:val="000000"/>
          <w:kern w:val="0"/>
          <w:sz w:val="18"/>
          <w:szCs w:val="18"/>
          <w:lang w:val="zh-CN"/>
        </w:rPr>
        <w:t>[</w:t>
      </w:r>
      <w:r w:rsidRPr="00F63C76">
        <w:rPr>
          <w:rFonts w:ascii="黑体" w:eastAsia="黑体" w:cs="黑体" w:hint="eastAsia"/>
          <w:color w:val="000000"/>
          <w:kern w:val="0"/>
          <w:sz w:val="18"/>
          <w:szCs w:val="18"/>
          <w:lang w:val="zh-CN"/>
        </w:rPr>
        <w:t>摘要</w:t>
      </w:r>
      <w:r w:rsidRPr="00F63C76">
        <w:rPr>
          <w:rFonts w:ascii="黑体" w:eastAsia="黑体" w:cs="黑体"/>
          <w:color w:val="000000"/>
          <w:kern w:val="0"/>
          <w:sz w:val="18"/>
          <w:szCs w:val="18"/>
          <w:lang w:val="zh-CN"/>
        </w:rPr>
        <w:t>]</w:t>
      </w:r>
      <w:r w:rsidRPr="00F63C76">
        <w:rPr>
          <w:rFonts w:ascii="黑体" w:eastAsia="黑体" w:cs="黑体" w:hint="eastAsia"/>
          <w:color w:val="000000"/>
          <w:kern w:val="0"/>
          <w:sz w:val="18"/>
          <w:szCs w:val="18"/>
          <w:lang w:val="zh-CN"/>
        </w:rPr>
        <w:t>目的：</w:t>
      </w:r>
      <w:r w:rsidRPr="00F63C76">
        <w:rPr>
          <w:rFonts w:ascii="楷体_GB2312" w:eastAsia="楷体_GB2312" w:cs="楷体_GB2312" w:hint="eastAsia"/>
          <w:color w:val="000000"/>
          <w:kern w:val="0"/>
          <w:sz w:val="18"/>
          <w:szCs w:val="18"/>
          <w:lang w:val="zh-CN"/>
        </w:rPr>
        <w:t>探究一次性和多次根管治疗对根尖周炎的治疗效果。</w:t>
      </w:r>
      <w:r w:rsidRPr="00F63C76">
        <w:rPr>
          <w:rFonts w:ascii="黑体" w:eastAsia="黑体" w:cs="黑体" w:hint="eastAsia"/>
          <w:color w:val="000000"/>
          <w:kern w:val="0"/>
          <w:sz w:val="18"/>
          <w:szCs w:val="18"/>
          <w:lang w:val="zh-CN"/>
        </w:rPr>
        <w:t>方法：</w:t>
      </w:r>
      <w:r w:rsidRPr="00F63C76">
        <w:rPr>
          <w:rFonts w:ascii="楷体_GB2312" w:eastAsia="楷体_GB2312" w:cs="楷体_GB2312" w:hint="eastAsia"/>
          <w:color w:val="000000"/>
          <w:kern w:val="0"/>
          <w:sz w:val="18"/>
          <w:szCs w:val="18"/>
          <w:lang w:val="zh-CN"/>
        </w:rPr>
        <w:t>选择</w:t>
      </w:r>
      <w:r w:rsidRPr="00F63C76">
        <w:rPr>
          <w:rFonts w:ascii="楷体_GB2312" w:eastAsia="楷体_GB2312" w:cs="楷体_GB2312"/>
          <w:color w:val="000000"/>
          <w:kern w:val="0"/>
          <w:sz w:val="18"/>
          <w:szCs w:val="18"/>
          <w:lang w:val="zh-CN"/>
        </w:rPr>
        <w:t>2017</w:t>
      </w:r>
      <w:r w:rsidRPr="00F63C76">
        <w:rPr>
          <w:rFonts w:ascii="楷体_GB2312" w:eastAsia="楷体_GB2312" w:cs="楷体_GB2312" w:hint="eastAsia"/>
          <w:color w:val="000000"/>
          <w:kern w:val="0"/>
          <w:sz w:val="18"/>
          <w:szCs w:val="18"/>
          <w:lang w:val="zh-CN"/>
        </w:rPr>
        <w:t>年</w:t>
      </w:r>
      <w:r w:rsidRPr="00F63C76">
        <w:rPr>
          <w:rFonts w:ascii="楷体_GB2312" w:eastAsia="楷体_GB2312" w:cs="楷体_GB2312"/>
          <w:color w:val="000000"/>
          <w:kern w:val="0"/>
          <w:sz w:val="18"/>
          <w:szCs w:val="18"/>
          <w:lang w:val="zh-CN"/>
        </w:rPr>
        <w:t>6</w:t>
      </w:r>
      <w:r w:rsidRPr="00F63C76">
        <w:rPr>
          <w:rFonts w:ascii="楷体_GB2312" w:eastAsia="楷体_GB2312" w:cs="楷体_GB2312" w:hint="eastAsia"/>
          <w:color w:val="000000"/>
          <w:kern w:val="0"/>
          <w:sz w:val="18"/>
          <w:szCs w:val="18"/>
          <w:lang w:val="zh-CN"/>
        </w:rPr>
        <w:t>月</w:t>
      </w:r>
      <w:r w:rsidRPr="00F63C76">
        <w:rPr>
          <w:rFonts w:ascii="楷体_GB2312" w:eastAsia="楷体_GB2312" w:cs="楷体_GB2312"/>
          <w:color w:val="000000"/>
          <w:kern w:val="0"/>
          <w:sz w:val="18"/>
          <w:szCs w:val="18"/>
          <w:lang w:val="zh-CN"/>
        </w:rPr>
        <w:t>-2020</w:t>
      </w:r>
      <w:r w:rsidRPr="00F63C76">
        <w:rPr>
          <w:rFonts w:ascii="楷体_GB2312" w:eastAsia="楷体_GB2312" w:cs="楷体_GB2312" w:hint="eastAsia"/>
          <w:color w:val="000000"/>
          <w:kern w:val="0"/>
          <w:sz w:val="18"/>
          <w:szCs w:val="18"/>
          <w:lang w:val="zh-CN"/>
        </w:rPr>
        <w:t>年</w:t>
      </w:r>
      <w:r w:rsidRPr="00F63C76">
        <w:rPr>
          <w:rFonts w:ascii="楷体_GB2312" w:eastAsia="楷体_GB2312" w:cs="楷体_GB2312"/>
          <w:color w:val="000000"/>
          <w:kern w:val="0"/>
          <w:sz w:val="18"/>
          <w:szCs w:val="18"/>
          <w:lang w:val="zh-CN"/>
        </w:rPr>
        <w:t>6</w:t>
      </w:r>
      <w:r w:rsidRPr="00F63C76">
        <w:rPr>
          <w:rFonts w:ascii="楷体_GB2312" w:eastAsia="楷体_GB2312" w:cs="楷体_GB2312" w:hint="eastAsia"/>
          <w:color w:val="000000"/>
          <w:kern w:val="0"/>
          <w:sz w:val="18"/>
          <w:szCs w:val="18"/>
          <w:lang w:val="zh-CN"/>
        </w:rPr>
        <w:t>月在南京市口腔医院就诊的</w:t>
      </w:r>
      <w:r w:rsidRPr="00F63C76">
        <w:rPr>
          <w:rFonts w:ascii="楷体_GB2312" w:eastAsia="楷体_GB2312" w:cs="楷体_GB2312"/>
          <w:color w:val="000000"/>
          <w:kern w:val="0"/>
          <w:sz w:val="18"/>
          <w:szCs w:val="18"/>
          <w:lang w:val="zh-CN"/>
        </w:rPr>
        <w:t>88</w:t>
      </w:r>
      <w:r w:rsidRPr="00F63C76">
        <w:rPr>
          <w:rFonts w:ascii="楷体_GB2312" w:eastAsia="楷体_GB2312" w:cs="楷体_GB2312" w:hint="eastAsia"/>
          <w:color w:val="000000"/>
          <w:kern w:val="0"/>
          <w:sz w:val="18"/>
          <w:szCs w:val="18"/>
          <w:lang w:val="zh-CN"/>
        </w:rPr>
        <w:t>例根尖周炎患者为研究对象。以随机数字的方法分为对照组和观察组，每</w:t>
      </w:r>
      <w:r w:rsidRPr="00F63C76">
        <w:rPr>
          <w:rFonts w:ascii="楷体_GB2312" w:eastAsia="楷体_GB2312" w:cs="楷体_GB2312"/>
          <w:color w:val="000000"/>
          <w:kern w:val="0"/>
          <w:sz w:val="18"/>
          <w:szCs w:val="18"/>
          <w:lang w:val="zh-CN"/>
        </w:rPr>
        <w:t>44</w:t>
      </w:r>
      <w:r w:rsidRPr="00F63C76">
        <w:rPr>
          <w:rFonts w:ascii="楷体_GB2312" w:eastAsia="楷体_GB2312" w:cs="楷体_GB2312" w:hint="eastAsia"/>
          <w:color w:val="000000"/>
          <w:kern w:val="0"/>
          <w:sz w:val="18"/>
          <w:szCs w:val="18"/>
          <w:lang w:val="zh-CN"/>
        </w:rPr>
        <w:t>例。对照组使用多次性根管治疗方案，观察组使用一次性根管治疗方案。对比两组的治疗效果、填充效果、治疗时间、治疗完成后</w:t>
      </w:r>
      <w:r w:rsidRPr="00F63C76">
        <w:rPr>
          <w:rFonts w:ascii="楷体_GB2312" w:eastAsia="楷体_GB2312" w:cs="楷体_GB2312"/>
          <w:color w:val="000000"/>
          <w:kern w:val="0"/>
          <w:sz w:val="18"/>
          <w:szCs w:val="18"/>
          <w:lang w:val="zh-CN"/>
        </w:rPr>
        <w:t>1</w:t>
      </w:r>
      <w:r w:rsidRPr="00F63C76">
        <w:rPr>
          <w:rFonts w:ascii="楷体_GB2312" w:eastAsia="楷体_GB2312" w:cs="楷体_GB2312" w:hint="eastAsia"/>
          <w:color w:val="000000"/>
          <w:kern w:val="0"/>
          <w:sz w:val="18"/>
          <w:szCs w:val="18"/>
          <w:lang w:val="zh-CN"/>
        </w:rPr>
        <w:t>周的疼痛情况（</w:t>
      </w:r>
      <w:r w:rsidRPr="00F63C76">
        <w:rPr>
          <w:rFonts w:ascii="楷体_GB2312" w:eastAsia="楷体_GB2312" w:cs="楷体_GB2312"/>
          <w:color w:val="000000"/>
          <w:kern w:val="0"/>
          <w:sz w:val="18"/>
          <w:szCs w:val="18"/>
          <w:lang w:val="zh-CN"/>
        </w:rPr>
        <w:t>VAS</w:t>
      </w:r>
      <w:r w:rsidRPr="00F63C76">
        <w:rPr>
          <w:rFonts w:ascii="楷体_GB2312" w:eastAsia="楷体_GB2312" w:cs="楷体_GB2312" w:hint="eastAsia"/>
          <w:color w:val="000000"/>
          <w:kern w:val="0"/>
          <w:sz w:val="18"/>
          <w:szCs w:val="18"/>
          <w:lang w:val="zh-CN"/>
        </w:rPr>
        <w:t>评分）、牙槽骨骨密度</w:t>
      </w:r>
      <w:r w:rsidRPr="00F63C76">
        <w:rPr>
          <w:rFonts w:ascii="楷体_GB2312" w:eastAsia="楷体_GB2312" w:cs="楷体_GB2312" w:hint="eastAsia"/>
          <w:color w:val="000000"/>
          <w:spacing w:val="7"/>
          <w:kern w:val="0"/>
          <w:sz w:val="18"/>
          <w:szCs w:val="18"/>
          <w:lang w:val="zh-CN"/>
        </w:rPr>
        <w:t>、血清炎性反应因子指标</w:t>
      </w:r>
      <w:r w:rsidRPr="00F63C76">
        <w:rPr>
          <w:rFonts w:ascii="楷体_GB2312" w:eastAsia="楷体_GB2312" w:cs="楷体_GB2312"/>
          <w:color w:val="000000"/>
          <w:spacing w:val="7"/>
          <w:kern w:val="0"/>
          <w:sz w:val="18"/>
          <w:szCs w:val="18"/>
          <w:lang w:val="zh-CN"/>
        </w:rPr>
        <w:t>[C</w:t>
      </w:r>
      <w:r w:rsidRPr="00F63C76">
        <w:rPr>
          <w:rFonts w:ascii="楷体_GB2312" w:eastAsia="楷体_GB2312" w:cs="楷体_GB2312" w:hint="eastAsia"/>
          <w:color w:val="000000"/>
          <w:spacing w:val="7"/>
          <w:kern w:val="0"/>
          <w:sz w:val="18"/>
          <w:szCs w:val="18"/>
          <w:lang w:val="zh-CN"/>
        </w:rPr>
        <w:t>反应蛋白（</w:t>
      </w:r>
      <w:r w:rsidRPr="00F63C76">
        <w:rPr>
          <w:rFonts w:ascii="楷体_GB2312" w:eastAsia="楷体_GB2312" w:cs="楷体_GB2312"/>
          <w:color w:val="000000"/>
          <w:spacing w:val="7"/>
          <w:kern w:val="0"/>
          <w:sz w:val="18"/>
          <w:szCs w:val="18"/>
          <w:lang w:val="zh-CN"/>
        </w:rPr>
        <w:t>CRP</w:t>
      </w:r>
      <w:r w:rsidRPr="00F63C76">
        <w:rPr>
          <w:rFonts w:ascii="楷体_GB2312" w:eastAsia="楷体_GB2312" w:cs="楷体_GB2312" w:hint="eastAsia"/>
          <w:color w:val="000000"/>
          <w:spacing w:val="7"/>
          <w:kern w:val="0"/>
          <w:sz w:val="18"/>
          <w:szCs w:val="18"/>
          <w:lang w:val="zh-CN"/>
        </w:rPr>
        <w:t>）、白细胞介素</w:t>
      </w:r>
      <w:r w:rsidRPr="00F63C76">
        <w:rPr>
          <w:rFonts w:ascii="楷体_GB2312" w:eastAsia="楷体_GB2312" w:cs="楷体_GB2312"/>
          <w:color w:val="000000"/>
          <w:spacing w:val="7"/>
          <w:kern w:val="0"/>
          <w:sz w:val="18"/>
          <w:szCs w:val="18"/>
          <w:lang w:val="zh-CN"/>
        </w:rPr>
        <w:t>-2</w:t>
      </w:r>
      <w:r w:rsidRPr="00F63C76">
        <w:rPr>
          <w:rFonts w:ascii="楷体_GB2312" w:eastAsia="楷体_GB2312" w:cs="楷体_GB2312" w:hint="eastAsia"/>
          <w:color w:val="000000"/>
          <w:spacing w:val="7"/>
          <w:kern w:val="0"/>
          <w:sz w:val="18"/>
          <w:szCs w:val="18"/>
          <w:lang w:val="zh-CN"/>
        </w:rPr>
        <w:t>（</w:t>
      </w:r>
      <w:r w:rsidRPr="00F63C76">
        <w:rPr>
          <w:rFonts w:ascii="楷体_GB2312" w:eastAsia="楷体_GB2312" w:cs="楷体_GB2312"/>
          <w:color w:val="000000"/>
          <w:spacing w:val="7"/>
          <w:kern w:val="0"/>
          <w:sz w:val="18"/>
          <w:szCs w:val="18"/>
          <w:lang w:val="zh-CN"/>
        </w:rPr>
        <w:t>IL-2</w:t>
      </w:r>
      <w:r w:rsidRPr="00F63C76">
        <w:rPr>
          <w:rFonts w:ascii="楷体_GB2312" w:eastAsia="楷体_GB2312" w:cs="楷体_GB2312" w:hint="eastAsia"/>
          <w:color w:val="000000"/>
          <w:spacing w:val="7"/>
          <w:kern w:val="0"/>
          <w:sz w:val="18"/>
          <w:szCs w:val="18"/>
          <w:lang w:val="zh-CN"/>
        </w:rPr>
        <w:t>）、白细胞介素</w:t>
      </w:r>
      <w:r w:rsidRPr="00F63C76">
        <w:rPr>
          <w:rFonts w:ascii="楷体_GB2312" w:eastAsia="楷体_GB2312" w:cs="楷体_GB2312"/>
          <w:color w:val="000000"/>
          <w:spacing w:val="7"/>
          <w:kern w:val="0"/>
          <w:sz w:val="18"/>
          <w:szCs w:val="18"/>
          <w:lang w:val="zh-CN"/>
        </w:rPr>
        <w:t>-6</w:t>
      </w:r>
      <w:r w:rsidRPr="00F63C76">
        <w:rPr>
          <w:rFonts w:ascii="楷体_GB2312" w:eastAsia="楷体_GB2312" w:cs="楷体_GB2312" w:hint="eastAsia"/>
          <w:color w:val="000000"/>
          <w:spacing w:val="7"/>
          <w:kern w:val="0"/>
          <w:sz w:val="18"/>
          <w:szCs w:val="18"/>
          <w:lang w:val="zh-CN"/>
        </w:rPr>
        <w:t>（</w:t>
      </w:r>
      <w:r w:rsidRPr="00F63C76">
        <w:rPr>
          <w:rFonts w:ascii="楷体_GB2312" w:eastAsia="楷体_GB2312" w:cs="楷体_GB2312"/>
          <w:color w:val="000000"/>
          <w:spacing w:val="7"/>
          <w:kern w:val="0"/>
          <w:sz w:val="18"/>
          <w:szCs w:val="18"/>
          <w:lang w:val="zh-CN"/>
        </w:rPr>
        <w:t>IL-6</w:t>
      </w:r>
      <w:r w:rsidRPr="00F63C76">
        <w:rPr>
          <w:rFonts w:ascii="楷体_GB2312" w:eastAsia="楷体_GB2312" w:cs="楷体_GB2312" w:hint="eastAsia"/>
          <w:color w:val="000000"/>
          <w:spacing w:val="7"/>
          <w:kern w:val="0"/>
          <w:sz w:val="18"/>
          <w:szCs w:val="18"/>
          <w:lang w:val="zh-CN"/>
        </w:rPr>
        <w:t>）</w:t>
      </w:r>
      <w:r w:rsidRPr="00F63C76">
        <w:rPr>
          <w:rFonts w:ascii="楷体_GB2312" w:eastAsia="楷体_GB2312" w:cs="楷体_GB2312"/>
          <w:color w:val="000000"/>
          <w:spacing w:val="7"/>
          <w:kern w:val="0"/>
          <w:sz w:val="18"/>
          <w:szCs w:val="18"/>
          <w:lang w:val="zh-CN"/>
        </w:rPr>
        <w:t>]</w:t>
      </w:r>
      <w:r w:rsidRPr="00F63C76">
        <w:rPr>
          <w:rFonts w:ascii="楷体_GB2312" w:eastAsia="楷体_GB2312" w:cs="楷体_GB2312" w:hint="eastAsia"/>
          <w:color w:val="000000"/>
          <w:spacing w:val="7"/>
          <w:kern w:val="0"/>
          <w:sz w:val="18"/>
          <w:szCs w:val="18"/>
          <w:lang w:val="zh-CN"/>
        </w:rPr>
        <w:t>及并发症情况。</w:t>
      </w:r>
      <w:r w:rsidRPr="00F63C76">
        <w:rPr>
          <w:rFonts w:ascii="黑体" w:eastAsia="黑体" w:cs="黑体" w:hint="eastAsia"/>
          <w:color w:val="000000"/>
          <w:spacing w:val="7"/>
          <w:kern w:val="0"/>
          <w:sz w:val="18"/>
          <w:szCs w:val="18"/>
          <w:lang w:val="zh-CN"/>
        </w:rPr>
        <w:t>结果：</w:t>
      </w:r>
      <w:r w:rsidRPr="00F63C76">
        <w:rPr>
          <w:rFonts w:ascii="楷体_GB2312" w:eastAsia="楷体_GB2312" w:cs="楷体_GB2312" w:hint="eastAsia"/>
          <w:color w:val="000000"/>
          <w:spacing w:val="7"/>
          <w:kern w:val="0"/>
          <w:sz w:val="18"/>
          <w:szCs w:val="18"/>
          <w:lang w:val="zh-CN"/>
        </w:rPr>
        <w:t>观察组的治疗有效率</w:t>
      </w:r>
      <w:r w:rsidRPr="00F63C76">
        <w:rPr>
          <w:rFonts w:ascii="楷体_GB2312" w:eastAsia="楷体_GB2312" w:cs="楷体_GB2312"/>
          <w:color w:val="000000"/>
          <w:spacing w:val="7"/>
          <w:kern w:val="0"/>
          <w:sz w:val="18"/>
          <w:szCs w:val="18"/>
          <w:lang w:val="zh-CN"/>
        </w:rPr>
        <w:t>100.00%</w:t>
      </w:r>
      <w:r w:rsidRPr="00F63C76">
        <w:rPr>
          <w:rFonts w:ascii="楷体_GB2312" w:eastAsia="楷体_GB2312" w:cs="楷体_GB2312" w:hint="eastAsia"/>
          <w:color w:val="000000"/>
          <w:spacing w:val="7"/>
          <w:kern w:val="0"/>
          <w:sz w:val="18"/>
          <w:szCs w:val="18"/>
          <w:lang w:val="zh-CN"/>
        </w:rPr>
        <w:t>，对照组的治疗有效率</w:t>
      </w:r>
      <w:r w:rsidRPr="00F63C76">
        <w:rPr>
          <w:rFonts w:ascii="楷体_GB2312" w:eastAsia="楷体_GB2312" w:cs="楷体_GB2312"/>
          <w:color w:val="000000"/>
          <w:spacing w:val="7"/>
          <w:kern w:val="0"/>
          <w:sz w:val="18"/>
          <w:szCs w:val="18"/>
          <w:lang w:val="zh-CN"/>
        </w:rPr>
        <w:t>97.73%</w:t>
      </w:r>
      <w:r w:rsidRPr="00F63C76">
        <w:rPr>
          <w:rFonts w:ascii="楷体_GB2312" w:eastAsia="楷体_GB2312" w:cs="楷体_GB2312" w:hint="eastAsia"/>
          <w:color w:val="000000"/>
          <w:spacing w:val="7"/>
          <w:kern w:val="0"/>
          <w:sz w:val="18"/>
          <w:szCs w:val="18"/>
          <w:lang w:val="zh-CN"/>
        </w:rPr>
        <w:t>（</w:t>
      </w:r>
      <w:r w:rsidRPr="00F63C76">
        <w:rPr>
          <w:rFonts w:ascii="楷体_GB2312" w:eastAsia="楷体_GB2312" w:cs="楷体_GB2312"/>
          <w:color w:val="000000"/>
          <w:spacing w:val="7"/>
          <w:kern w:val="0"/>
          <w:sz w:val="18"/>
          <w:szCs w:val="18"/>
          <w:lang w:val="zh-CN"/>
        </w:rPr>
        <w:t>P</w:t>
      </w:r>
      <w:r w:rsidRPr="00F63C76">
        <w:rPr>
          <w:rFonts w:ascii="楷体_GB2312" w:eastAsia="楷体_GB2312" w:cs="楷体_GB2312" w:hint="eastAsia"/>
          <w:color w:val="000000"/>
          <w:spacing w:val="7"/>
          <w:kern w:val="0"/>
          <w:sz w:val="18"/>
          <w:szCs w:val="18"/>
          <w:lang w:val="zh-CN"/>
        </w:rPr>
        <w:t>＞</w:t>
      </w:r>
      <w:r w:rsidRPr="00F63C76">
        <w:rPr>
          <w:rFonts w:ascii="楷体_GB2312" w:eastAsia="楷体_GB2312" w:cs="楷体_GB2312"/>
          <w:color w:val="000000"/>
          <w:spacing w:val="7"/>
          <w:kern w:val="0"/>
          <w:sz w:val="18"/>
          <w:szCs w:val="18"/>
          <w:lang w:val="zh-CN"/>
        </w:rPr>
        <w:t>0.05</w:t>
      </w:r>
      <w:r w:rsidRPr="00F63C76">
        <w:rPr>
          <w:rFonts w:ascii="楷体_GB2312" w:eastAsia="楷体_GB2312" w:cs="楷体_GB2312" w:hint="eastAsia"/>
          <w:color w:val="000000"/>
          <w:spacing w:val="7"/>
          <w:kern w:val="0"/>
          <w:sz w:val="18"/>
          <w:szCs w:val="18"/>
          <w:lang w:val="zh-CN"/>
        </w:rPr>
        <w:t>）；两组的填充效果良好率均为</w:t>
      </w:r>
      <w:r w:rsidRPr="00F63C76">
        <w:rPr>
          <w:rFonts w:ascii="楷体_GB2312" w:eastAsia="楷体_GB2312" w:cs="楷体_GB2312"/>
          <w:color w:val="000000"/>
          <w:spacing w:val="7"/>
          <w:kern w:val="0"/>
          <w:sz w:val="18"/>
          <w:szCs w:val="18"/>
          <w:lang w:val="zh-CN"/>
        </w:rPr>
        <w:t>100.00%</w:t>
      </w:r>
      <w:r w:rsidRPr="00F63C76">
        <w:rPr>
          <w:rFonts w:ascii="楷体_GB2312" w:eastAsia="楷体_GB2312" w:cs="楷体_GB2312" w:hint="eastAsia"/>
          <w:color w:val="000000"/>
          <w:spacing w:val="7"/>
          <w:kern w:val="0"/>
          <w:sz w:val="18"/>
          <w:szCs w:val="18"/>
          <w:lang w:val="zh-CN"/>
        </w:rPr>
        <w:t>（</w:t>
      </w:r>
      <w:r w:rsidRPr="00F63C76">
        <w:rPr>
          <w:rFonts w:ascii="楷体_GB2312" w:eastAsia="楷体_GB2312" w:cs="楷体_GB2312"/>
          <w:color w:val="000000"/>
          <w:spacing w:val="7"/>
          <w:kern w:val="0"/>
          <w:sz w:val="18"/>
          <w:szCs w:val="18"/>
          <w:lang w:val="zh-CN"/>
        </w:rPr>
        <w:t>P</w:t>
      </w:r>
      <w:r w:rsidRPr="00F63C76">
        <w:rPr>
          <w:rFonts w:ascii="楷体_GB2312" w:eastAsia="楷体_GB2312" w:cs="楷体_GB2312" w:hint="eastAsia"/>
          <w:color w:val="000000"/>
          <w:spacing w:val="7"/>
          <w:kern w:val="0"/>
          <w:sz w:val="18"/>
          <w:szCs w:val="18"/>
          <w:lang w:val="zh-CN"/>
        </w:rPr>
        <w:t>＞</w:t>
      </w:r>
      <w:r w:rsidRPr="00F63C76">
        <w:rPr>
          <w:rFonts w:ascii="楷体_GB2312" w:eastAsia="楷体_GB2312" w:cs="楷体_GB2312"/>
          <w:color w:val="000000"/>
          <w:spacing w:val="7"/>
          <w:kern w:val="0"/>
          <w:sz w:val="18"/>
          <w:szCs w:val="18"/>
          <w:lang w:val="zh-CN"/>
        </w:rPr>
        <w:t>0.05</w:t>
      </w:r>
      <w:r w:rsidRPr="00F63C76">
        <w:rPr>
          <w:rFonts w:ascii="楷体_GB2312" w:eastAsia="楷体_GB2312" w:cs="楷体_GB2312" w:hint="eastAsia"/>
          <w:color w:val="000000"/>
          <w:spacing w:val="7"/>
          <w:kern w:val="0"/>
          <w:sz w:val="18"/>
          <w:szCs w:val="18"/>
          <w:lang w:val="zh-CN"/>
        </w:rPr>
        <w:t>），</w:t>
      </w:r>
      <w:r w:rsidRPr="00F63C76">
        <w:rPr>
          <w:rFonts w:ascii="楷体_GB2312" w:eastAsia="楷体_GB2312" w:cs="楷体_GB2312" w:hint="eastAsia"/>
          <w:color w:val="000000"/>
          <w:kern w:val="0"/>
          <w:sz w:val="18"/>
          <w:szCs w:val="18"/>
          <w:lang w:val="zh-CN"/>
        </w:rPr>
        <w:t>差异均无统计学意义。观察组的治疗时间和治疗完成后</w:t>
      </w:r>
      <w:r w:rsidRPr="00F63C76">
        <w:rPr>
          <w:rFonts w:ascii="楷体_GB2312" w:eastAsia="楷体_GB2312" w:cs="楷体_GB2312"/>
          <w:color w:val="000000"/>
          <w:kern w:val="0"/>
          <w:sz w:val="18"/>
          <w:szCs w:val="18"/>
          <w:lang w:val="zh-CN"/>
        </w:rPr>
        <w:t>1</w:t>
      </w:r>
      <w:r w:rsidRPr="00F63C76">
        <w:rPr>
          <w:rFonts w:ascii="楷体_GB2312" w:eastAsia="楷体_GB2312" w:cs="楷体_GB2312" w:hint="eastAsia"/>
          <w:color w:val="000000"/>
          <w:kern w:val="0"/>
          <w:sz w:val="18"/>
          <w:szCs w:val="18"/>
          <w:lang w:val="zh-CN"/>
        </w:rPr>
        <w:t>周的</w:t>
      </w:r>
      <w:r w:rsidRPr="00F63C76">
        <w:rPr>
          <w:rFonts w:ascii="楷体_GB2312" w:eastAsia="楷体_GB2312" w:cs="楷体_GB2312"/>
          <w:color w:val="000000"/>
          <w:kern w:val="0"/>
          <w:sz w:val="18"/>
          <w:szCs w:val="18"/>
          <w:lang w:val="zh-CN"/>
        </w:rPr>
        <w:t>VAS</w:t>
      </w:r>
      <w:r w:rsidRPr="00F63C76">
        <w:rPr>
          <w:rFonts w:ascii="楷体_GB2312" w:eastAsia="楷体_GB2312" w:cs="楷体_GB2312" w:hint="eastAsia"/>
          <w:color w:val="000000"/>
          <w:kern w:val="0"/>
          <w:sz w:val="18"/>
          <w:szCs w:val="18"/>
          <w:lang w:val="zh-CN"/>
        </w:rPr>
        <w:t>评分均低于对照组（</w:t>
      </w:r>
      <w:r w:rsidRPr="00F63C76">
        <w:rPr>
          <w:rFonts w:ascii="楷体_GB2312" w:eastAsia="楷体_GB2312" w:cs="楷体_GB2312"/>
          <w:color w:val="000000"/>
          <w:kern w:val="0"/>
          <w:sz w:val="18"/>
          <w:szCs w:val="18"/>
          <w:lang w:val="zh-CN"/>
        </w:rPr>
        <w:t>P</w:t>
      </w:r>
      <w:r w:rsidRPr="00F63C76">
        <w:rPr>
          <w:rFonts w:ascii="楷体_GB2312" w:eastAsia="楷体_GB2312" w:cs="楷体_GB2312" w:hint="eastAsia"/>
          <w:color w:val="000000"/>
          <w:kern w:val="0"/>
          <w:sz w:val="18"/>
          <w:szCs w:val="18"/>
          <w:lang w:val="zh-CN"/>
        </w:rPr>
        <w:t>＜</w:t>
      </w:r>
      <w:r w:rsidRPr="00F63C76">
        <w:rPr>
          <w:rFonts w:ascii="楷体_GB2312" w:eastAsia="楷体_GB2312" w:cs="楷体_GB2312"/>
          <w:color w:val="000000"/>
          <w:kern w:val="0"/>
          <w:sz w:val="18"/>
          <w:szCs w:val="18"/>
          <w:lang w:val="zh-CN"/>
        </w:rPr>
        <w:t>0.05</w:t>
      </w:r>
      <w:r w:rsidRPr="00F63C76">
        <w:rPr>
          <w:rFonts w:ascii="楷体_GB2312" w:eastAsia="楷体_GB2312" w:cs="楷体_GB2312" w:hint="eastAsia"/>
          <w:color w:val="000000"/>
          <w:kern w:val="0"/>
          <w:sz w:val="18"/>
          <w:szCs w:val="18"/>
          <w:lang w:val="zh-CN"/>
        </w:rPr>
        <w:t>）。治疗后</w:t>
      </w:r>
      <w:r w:rsidRPr="00F63C76">
        <w:rPr>
          <w:rFonts w:ascii="楷体_GB2312" w:eastAsia="楷体_GB2312" w:cs="楷体_GB2312"/>
          <w:color w:val="000000"/>
          <w:kern w:val="0"/>
          <w:sz w:val="18"/>
          <w:szCs w:val="18"/>
          <w:lang w:val="zh-CN"/>
        </w:rPr>
        <w:t>1</w:t>
      </w:r>
      <w:r w:rsidRPr="00F63C76">
        <w:rPr>
          <w:rFonts w:ascii="楷体_GB2312" w:eastAsia="楷体_GB2312" w:cs="楷体_GB2312" w:hint="eastAsia"/>
          <w:color w:val="000000"/>
          <w:kern w:val="0"/>
          <w:sz w:val="18"/>
          <w:szCs w:val="18"/>
          <w:lang w:val="zh-CN"/>
        </w:rPr>
        <w:t>个月，两组的牙槽骨骨密度均增高，两组比较差异无统计学意义（</w:t>
      </w:r>
      <w:r w:rsidRPr="00F63C76">
        <w:rPr>
          <w:rFonts w:ascii="楷体_GB2312" w:eastAsia="楷体_GB2312" w:cs="楷体_GB2312"/>
          <w:color w:val="000000"/>
          <w:kern w:val="0"/>
          <w:sz w:val="18"/>
          <w:szCs w:val="18"/>
          <w:lang w:val="zh-CN"/>
        </w:rPr>
        <w:t>P</w:t>
      </w:r>
      <w:r w:rsidRPr="00F63C76">
        <w:rPr>
          <w:rFonts w:ascii="楷体_GB2312" w:eastAsia="楷体_GB2312" w:cs="楷体_GB2312" w:hint="eastAsia"/>
          <w:color w:val="000000"/>
          <w:kern w:val="0"/>
          <w:sz w:val="18"/>
          <w:szCs w:val="18"/>
          <w:lang w:val="zh-CN"/>
        </w:rPr>
        <w:t>＞</w:t>
      </w:r>
      <w:r w:rsidRPr="00F63C76">
        <w:rPr>
          <w:rFonts w:ascii="楷体_GB2312" w:eastAsia="楷体_GB2312" w:cs="楷体_GB2312"/>
          <w:color w:val="000000"/>
          <w:kern w:val="0"/>
          <w:sz w:val="18"/>
          <w:szCs w:val="18"/>
          <w:lang w:val="zh-CN"/>
        </w:rPr>
        <w:t>0.05</w:t>
      </w:r>
      <w:r w:rsidRPr="00F63C76">
        <w:rPr>
          <w:rFonts w:ascii="楷体_GB2312" w:eastAsia="楷体_GB2312" w:cs="楷体_GB2312" w:hint="eastAsia"/>
          <w:color w:val="000000"/>
          <w:kern w:val="0"/>
          <w:sz w:val="18"/>
          <w:szCs w:val="18"/>
          <w:lang w:val="zh-CN"/>
        </w:rPr>
        <w:t>）。治疗后</w:t>
      </w:r>
      <w:r w:rsidRPr="00F63C76">
        <w:rPr>
          <w:rFonts w:ascii="楷体_GB2312" w:eastAsia="楷体_GB2312" w:cs="楷体_GB2312"/>
          <w:color w:val="000000"/>
          <w:kern w:val="0"/>
          <w:sz w:val="18"/>
          <w:szCs w:val="18"/>
          <w:lang w:val="zh-CN"/>
        </w:rPr>
        <w:t>1</w:t>
      </w:r>
      <w:r w:rsidRPr="00F63C76">
        <w:rPr>
          <w:rFonts w:ascii="楷体_GB2312" w:eastAsia="楷体_GB2312" w:cs="楷体_GB2312" w:hint="eastAsia"/>
          <w:color w:val="000000"/>
          <w:kern w:val="0"/>
          <w:sz w:val="18"/>
          <w:szCs w:val="18"/>
          <w:lang w:val="zh-CN"/>
        </w:rPr>
        <w:t>个月，观察组的</w:t>
      </w:r>
      <w:r w:rsidRPr="00F63C76">
        <w:rPr>
          <w:rFonts w:ascii="楷体_GB2312" w:eastAsia="楷体_GB2312" w:cs="楷体_GB2312"/>
          <w:color w:val="000000"/>
          <w:kern w:val="0"/>
          <w:sz w:val="18"/>
          <w:szCs w:val="18"/>
          <w:lang w:val="zh-CN"/>
        </w:rPr>
        <w:t>CRP</w:t>
      </w:r>
      <w:r w:rsidRPr="00F63C76">
        <w:rPr>
          <w:rFonts w:ascii="楷体_GB2312" w:eastAsia="楷体_GB2312" w:cs="楷体_GB2312" w:hint="eastAsia"/>
          <w:color w:val="000000"/>
          <w:kern w:val="0"/>
          <w:sz w:val="18"/>
          <w:szCs w:val="18"/>
          <w:lang w:val="zh-CN"/>
        </w:rPr>
        <w:t>、</w:t>
      </w:r>
      <w:r w:rsidRPr="00F63C76">
        <w:rPr>
          <w:rFonts w:ascii="楷体_GB2312" w:eastAsia="楷体_GB2312" w:cs="楷体_GB2312"/>
          <w:color w:val="000000"/>
          <w:kern w:val="0"/>
          <w:sz w:val="18"/>
          <w:szCs w:val="18"/>
          <w:lang w:val="zh-CN"/>
        </w:rPr>
        <w:t>IL-2</w:t>
      </w:r>
      <w:r w:rsidRPr="00F63C76">
        <w:rPr>
          <w:rFonts w:ascii="楷体_GB2312" w:eastAsia="楷体_GB2312" w:cs="楷体_GB2312" w:hint="eastAsia"/>
          <w:color w:val="000000"/>
          <w:kern w:val="0"/>
          <w:sz w:val="18"/>
          <w:szCs w:val="18"/>
          <w:lang w:val="zh-CN"/>
        </w:rPr>
        <w:t>、</w:t>
      </w:r>
      <w:r w:rsidRPr="00F63C76">
        <w:rPr>
          <w:rFonts w:ascii="楷体_GB2312" w:eastAsia="楷体_GB2312" w:cs="楷体_GB2312"/>
          <w:color w:val="000000"/>
          <w:kern w:val="0"/>
          <w:sz w:val="18"/>
          <w:szCs w:val="18"/>
          <w:lang w:val="zh-CN"/>
        </w:rPr>
        <w:t>IL-6</w:t>
      </w:r>
      <w:r w:rsidRPr="00F63C76">
        <w:rPr>
          <w:rFonts w:ascii="楷体_GB2312" w:eastAsia="楷体_GB2312" w:cs="楷体_GB2312" w:hint="eastAsia"/>
          <w:color w:val="000000"/>
          <w:kern w:val="0"/>
          <w:sz w:val="18"/>
          <w:szCs w:val="18"/>
          <w:lang w:val="zh-CN"/>
        </w:rPr>
        <w:t>均低于对照组，差异有统计学意义（</w:t>
      </w:r>
      <w:r w:rsidRPr="00F63C76">
        <w:rPr>
          <w:rFonts w:ascii="楷体_GB2312" w:eastAsia="楷体_GB2312" w:cs="楷体_GB2312"/>
          <w:color w:val="000000"/>
          <w:kern w:val="0"/>
          <w:sz w:val="18"/>
          <w:szCs w:val="18"/>
          <w:lang w:val="zh-CN"/>
        </w:rPr>
        <w:t>P</w:t>
      </w:r>
      <w:r w:rsidRPr="00F63C76">
        <w:rPr>
          <w:rFonts w:ascii="楷体_GB2312" w:eastAsia="楷体_GB2312" w:cs="楷体_GB2312" w:hint="eastAsia"/>
          <w:color w:val="000000"/>
          <w:kern w:val="0"/>
          <w:sz w:val="18"/>
          <w:szCs w:val="18"/>
          <w:lang w:val="zh-CN"/>
        </w:rPr>
        <w:t>＜</w:t>
      </w:r>
      <w:r w:rsidRPr="00F63C76">
        <w:rPr>
          <w:rFonts w:ascii="楷体_GB2312" w:eastAsia="楷体_GB2312" w:cs="楷体_GB2312"/>
          <w:color w:val="000000"/>
          <w:kern w:val="0"/>
          <w:sz w:val="18"/>
          <w:szCs w:val="18"/>
          <w:lang w:val="zh-CN"/>
        </w:rPr>
        <w:t>0.05</w:t>
      </w:r>
      <w:r w:rsidRPr="00F63C76">
        <w:rPr>
          <w:rFonts w:ascii="楷体_GB2312" w:eastAsia="楷体_GB2312" w:cs="楷体_GB2312" w:hint="eastAsia"/>
          <w:color w:val="000000"/>
          <w:kern w:val="0"/>
          <w:sz w:val="18"/>
          <w:szCs w:val="18"/>
          <w:lang w:val="zh-CN"/>
        </w:rPr>
        <w:t>）。两组的并发症发生率比较差异无统计学意义（</w:t>
      </w:r>
      <w:r w:rsidRPr="00F63C76">
        <w:rPr>
          <w:rFonts w:ascii="楷体_GB2312" w:eastAsia="楷体_GB2312" w:cs="楷体_GB2312"/>
          <w:color w:val="000000"/>
          <w:kern w:val="0"/>
          <w:sz w:val="18"/>
          <w:szCs w:val="18"/>
          <w:lang w:val="zh-CN"/>
        </w:rPr>
        <w:t>P</w:t>
      </w:r>
      <w:r w:rsidRPr="00F63C76">
        <w:rPr>
          <w:rFonts w:ascii="楷体_GB2312" w:eastAsia="楷体_GB2312" w:cs="楷体_GB2312" w:hint="eastAsia"/>
          <w:color w:val="000000"/>
          <w:kern w:val="0"/>
          <w:sz w:val="18"/>
          <w:szCs w:val="18"/>
          <w:lang w:val="zh-CN"/>
        </w:rPr>
        <w:t>＞</w:t>
      </w:r>
      <w:r w:rsidRPr="00F63C76">
        <w:rPr>
          <w:rFonts w:ascii="楷体_GB2312" w:eastAsia="楷体_GB2312" w:cs="楷体_GB2312"/>
          <w:color w:val="000000"/>
          <w:kern w:val="0"/>
          <w:sz w:val="18"/>
          <w:szCs w:val="18"/>
          <w:lang w:val="zh-CN"/>
        </w:rPr>
        <w:t>0.05</w:t>
      </w:r>
      <w:r w:rsidRPr="00F63C76">
        <w:rPr>
          <w:rFonts w:ascii="楷体_GB2312" w:eastAsia="楷体_GB2312" w:cs="楷体_GB2312" w:hint="eastAsia"/>
          <w:color w:val="000000"/>
          <w:kern w:val="0"/>
          <w:sz w:val="18"/>
          <w:szCs w:val="18"/>
          <w:lang w:val="zh-CN"/>
        </w:rPr>
        <w:t>）。</w:t>
      </w:r>
      <w:r w:rsidRPr="00F63C76">
        <w:rPr>
          <w:rFonts w:ascii="黑体" w:eastAsia="黑体" w:cs="黑体" w:hint="eastAsia"/>
          <w:color w:val="000000"/>
          <w:kern w:val="0"/>
          <w:sz w:val="18"/>
          <w:szCs w:val="18"/>
          <w:lang w:val="zh-CN"/>
        </w:rPr>
        <w:t>结论：</w:t>
      </w:r>
      <w:r w:rsidRPr="00F63C76">
        <w:rPr>
          <w:rFonts w:ascii="楷体_GB2312" w:eastAsia="楷体_GB2312" w:cs="楷体_GB2312" w:hint="eastAsia"/>
          <w:color w:val="000000"/>
          <w:kern w:val="0"/>
          <w:sz w:val="18"/>
          <w:szCs w:val="18"/>
          <w:lang w:val="zh-CN"/>
        </w:rPr>
        <w:t>治疗根尖周炎患者，一次性根管填充治疗和多次性根管填充治疗所获得的疗效及填充效果十分接近，改善牙槽骨骨密度的能力类似，均具有良好的安全性。但是一次性根管治疗可明显缩短治疗时间，降低组织损伤程度以及术后短期疼痛感。</w:t>
      </w:r>
    </w:p>
    <w:p w14:paraId="27BAB29E" w14:textId="77777777" w:rsidR="00F63C76" w:rsidRPr="00F63C76" w:rsidRDefault="00F63C76" w:rsidP="00F63C7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63C76">
        <w:rPr>
          <w:rFonts w:ascii="黑体" w:eastAsia="黑体" w:cs="黑体"/>
          <w:color w:val="000000"/>
          <w:kern w:val="0"/>
          <w:sz w:val="18"/>
          <w:szCs w:val="18"/>
          <w:lang w:val="zh-CN"/>
        </w:rPr>
        <w:t>[</w:t>
      </w:r>
      <w:r w:rsidRPr="00F63C76">
        <w:rPr>
          <w:rFonts w:ascii="黑体" w:eastAsia="黑体" w:cs="黑体" w:hint="eastAsia"/>
          <w:color w:val="000000"/>
          <w:kern w:val="0"/>
          <w:sz w:val="18"/>
          <w:szCs w:val="18"/>
          <w:lang w:val="zh-CN"/>
        </w:rPr>
        <w:t>关键词</w:t>
      </w:r>
      <w:r w:rsidRPr="00F63C76">
        <w:rPr>
          <w:rFonts w:ascii="黑体" w:eastAsia="黑体" w:cs="黑体"/>
          <w:color w:val="000000"/>
          <w:kern w:val="0"/>
          <w:sz w:val="18"/>
          <w:szCs w:val="18"/>
          <w:lang w:val="zh-CN"/>
        </w:rPr>
        <w:t>]</w:t>
      </w:r>
      <w:r w:rsidRPr="00F63C76">
        <w:rPr>
          <w:rFonts w:ascii="楷体_GB2312" w:eastAsia="楷体_GB2312" w:cs="楷体_GB2312" w:hint="eastAsia"/>
          <w:color w:val="000000"/>
          <w:kern w:val="0"/>
          <w:sz w:val="18"/>
          <w:szCs w:val="18"/>
          <w:lang w:val="zh-CN"/>
        </w:rPr>
        <w:t>根管治疗；根尖周炎；牙槽骨；疼痛；封闭</w:t>
      </w:r>
    </w:p>
    <w:p w14:paraId="406326AC" w14:textId="77777777" w:rsidR="00F63C76" w:rsidRPr="00F63C76" w:rsidRDefault="00F63C76" w:rsidP="00F63C7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63C76">
        <w:rPr>
          <w:rFonts w:ascii="黑体" w:eastAsia="黑体" w:cs="黑体"/>
          <w:color w:val="000000"/>
          <w:kern w:val="0"/>
          <w:sz w:val="18"/>
          <w:szCs w:val="18"/>
          <w:lang w:val="zh-CN"/>
        </w:rPr>
        <w:t>[</w:t>
      </w:r>
      <w:r w:rsidRPr="00F63C76">
        <w:rPr>
          <w:rFonts w:ascii="黑体" w:eastAsia="黑体" w:cs="黑体" w:hint="eastAsia"/>
          <w:color w:val="000000"/>
          <w:kern w:val="0"/>
          <w:sz w:val="18"/>
          <w:szCs w:val="18"/>
          <w:lang w:val="zh-CN"/>
        </w:rPr>
        <w:t>中图分类号</w:t>
      </w:r>
      <w:r w:rsidRPr="00F63C76">
        <w:rPr>
          <w:rFonts w:ascii="黑体" w:eastAsia="黑体" w:cs="黑体"/>
          <w:color w:val="000000"/>
          <w:kern w:val="0"/>
          <w:sz w:val="18"/>
          <w:szCs w:val="18"/>
          <w:lang w:val="zh-CN"/>
        </w:rPr>
        <w:t>]</w:t>
      </w:r>
      <w:r w:rsidRPr="00F63C76">
        <w:rPr>
          <w:rFonts w:ascii="楷体_GB2312" w:eastAsia="楷体_GB2312" w:cs="楷体_GB2312"/>
          <w:color w:val="000000"/>
          <w:kern w:val="0"/>
          <w:sz w:val="18"/>
          <w:szCs w:val="18"/>
          <w:lang w:val="zh-CN"/>
        </w:rPr>
        <w:t xml:space="preserve">R781.3   </w:t>
      </w:r>
      <w:r w:rsidRPr="00F63C76">
        <w:rPr>
          <w:rFonts w:ascii="黑体" w:eastAsia="黑体" w:cs="黑体"/>
          <w:color w:val="000000"/>
          <w:kern w:val="0"/>
          <w:sz w:val="18"/>
          <w:szCs w:val="18"/>
          <w:lang w:val="zh-CN"/>
        </w:rPr>
        <w:t xml:space="preserve"> [</w:t>
      </w:r>
      <w:r w:rsidRPr="00F63C76">
        <w:rPr>
          <w:rFonts w:ascii="黑体" w:eastAsia="黑体" w:cs="黑体" w:hint="eastAsia"/>
          <w:color w:val="000000"/>
          <w:kern w:val="0"/>
          <w:sz w:val="18"/>
          <w:szCs w:val="18"/>
          <w:lang w:val="zh-CN"/>
        </w:rPr>
        <w:t>文献标志码</w:t>
      </w:r>
      <w:r w:rsidRPr="00F63C76">
        <w:rPr>
          <w:rFonts w:ascii="黑体" w:eastAsia="黑体" w:cs="黑体"/>
          <w:color w:val="000000"/>
          <w:kern w:val="0"/>
          <w:sz w:val="18"/>
          <w:szCs w:val="18"/>
          <w:lang w:val="zh-CN"/>
        </w:rPr>
        <w:t>]</w:t>
      </w:r>
      <w:r w:rsidRPr="00F63C76">
        <w:rPr>
          <w:rFonts w:ascii="楷体_GB2312" w:eastAsia="楷体_GB2312" w:cs="楷体_GB2312"/>
          <w:color w:val="000000"/>
          <w:kern w:val="0"/>
          <w:sz w:val="18"/>
          <w:szCs w:val="18"/>
          <w:lang w:val="zh-CN"/>
        </w:rPr>
        <w:t xml:space="preserve">A    </w:t>
      </w:r>
      <w:r w:rsidRPr="00F63C76">
        <w:rPr>
          <w:rFonts w:ascii="黑体" w:eastAsia="黑体" w:cs="黑体"/>
          <w:color w:val="000000"/>
          <w:kern w:val="0"/>
          <w:sz w:val="18"/>
          <w:szCs w:val="18"/>
          <w:lang w:val="zh-CN"/>
        </w:rPr>
        <w:t>[</w:t>
      </w:r>
      <w:r w:rsidRPr="00F63C76">
        <w:rPr>
          <w:rFonts w:ascii="黑体" w:eastAsia="黑体" w:cs="黑体" w:hint="eastAsia"/>
          <w:color w:val="000000"/>
          <w:kern w:val="0"/>
          <w:sz w:val="18"/>
          <w:szCs w:val="18"/>
          <w:lang w:val="zh-CN"/>
        </w:rPr>
        <w:t>文章编号</w:t>
      </w:r>
      <w:r w:rsidRPr="00F63C76">
        <w:rPr>
          <w:rFonts w:ascii="黑体" w:eastAsia="黑体" w:cs="黑体"/>
          <w:color w:val="000000"/>
          <w:kern w:val="0"/>
          <w:sz w:val="18"/>
          <w:szCs w:val="18"/>
          <w:lang w:val="zh-CN"/>
        </w:rPr>
        <w:t>]</w:t>
      </w:r>
      <w:r w:rsidRPr="00F63C76">
        <w:rPr>
          <w:rFonts w:ascii="楷体_GB2312" w:eastAsia="楷体_GB2312" w:cs="楷体_GB2312"/>
          <w:color w:val="000000"/>
          <w:kern w:val="0"/>
          <w:sz w:val="18"/>
          <w:szCs w:val="18"/>
          <w:lang w:val="zh-CN"/>
        </w:rPr>
        <w:t>1008-6455</w:t>
      </w:r>
      <w:r w:rsidRPr="00F63C76">
        <w:rPr>
          <w:rFonts w:ascii="楷体_GB2312" w:eastAsia="楷体_GB2312" w:cs="楷体_GB2312" w:hint="eastAsia"/>
          <w:color w:val="000000"/>
          <w:kern w:val="0"/>
          <w:sz w:val="18"/>
          <w:szCs w:val="18"/>
          <w:lang w:val="zh-CN"/>
        </w:rPr>
        <w:t>（</w:t>
      </w:r>
      <w:r w:rsidRPr="00F63C76">
        <w:rPr>
          <w:rFonts w:ascii="楷体_GB2312" w:eastAsia="楷体_GB2312" w:cs="楷体_GB2312"/>
          <w:color w:val="000000"/>
          <w:kern w:val="0"/>
          <w:sz w:val="18"/>
          <w:szCs w:val="18"/>
          <w:lang w:val="zh-CN"/>
        </w:rPr>
        <w:t>2022</w:t>
      </w:r>
      <w:r w:rsidRPr="00F63C76">
        <w:rPr>
          <w:rFonts w:ascii="楷体_GB2312" w:eastAsia="楷体_GB2312" w:cs="楷体_GB2312" w:hint="eastAsia"/>
          <w:color w:val="000000"/>
          <w:kern w:val="0"/>
          <w:sz w:val="18"/>
          <w:szCs w:val="18"/>
          <w:lang w:val="zh-CN"/>
        </w:rPr>
        <w:t>）</w:t>
      </w:r>
      <w:r w:rsidRPr="00F63C76">
        <w:rPr>
          <w:rFonts w:ascii="楷体_GB2312" w:eastAsia="楷体_GB2312" w:cs="楷体_GB2312"/>
          <w:color w:val="000000"/>
          <w:kern w:val="0"/>
          <w:sz w:val="18"/>
          <w:szCs w:val="18"/>
          <w:lang w:val="zh-CN"/>
        </w:rPr>
        <w:t>03-0148-04</w:t>
      </w:r>
    </w:p>
    <w:p w14:paraId="36CF7511" w14:textId="77777777" w:rsidR="00F63C76" w:rsidRPr="00F63C76" w:rsidRDefault="00F63C76" w:rsidP="00F63C7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lang w:val="zh-CN"/>
        </w:rPr>
      </w:pPr>
    </w:p>
    <w:p w14:paraId="4FCAEC2F" w14:textId="77777777" w:rsidR="00F63C76" w:rsidRPr="00F63C76" w:rsidRDefault="00F63C76" w:rsidP="00F63C7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r w:rsidRPr="00F63C76">
        <w:rPr>
          <w:rFonts w:ascii="ITC Avant Garde Gothic Demi" w:eastAsia="方正小标宋_GBK" w:hAnsi="ITC Avant Garde Gothic Demi" w:cs="ITC Avant Garde Gothic Demi"/>
          <w:color w:val="000000"/>
          <w:kern w:val="0"/>
          <w:sz w:val="24"/>
          <w:szCs w:val="24"/>
          <w:lang w:val="zh-CN"/>
        </w:rPr>
        <w:t>Comparison of Curative Effect of One-time and Multiple Root Canal Therapy on Periapical Periodontitis</w:t>
      </w:r>
    </w:p>
    <w:p w14:paraId="36D3AD34" w14:textId="77777777" w:rsidR="00F63C76" w:rsidRPr="00F63C76" w:rsidRDefault="00F63C76" w:rsidP="00F63C76">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lang w:val="zh-CN"/>
        </w:rPr>
      </w:pPr>
      <w:r w:rsidRPr="00F63C76">
        <w:rPr>
          <w:rFonts w:ascii="方正兰亭中黑_GBK" w:eastAsia="方正兰亭中黑_GBK" w:cs="方正兰亭中黑_GBK"/>
          <w:color w:val="000000"/>
          <w:kern w:val="0"/>
          <w:sz w:val="18"/>
          <w:szCs w:val="18"/>
          <w:lang w:val="zh-CN"/>
        </w:rPr>
        <w:t xml:space="preserve">CHEN Xingyu, XUE Yaqin, ZHANG Ning  </w:t>
      </w:r>
    </w:p>
    <w:p w14:paraId="71A86D78" w14:textId="77777777" w:rsidR="00F63C76" w:rsidRPr="00F63C76" w:rsidRDefault="00F63C76" w:rsidP="00F63C76">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lang w:val="zh-CN"/>
        </w:rPr>
      </w:pPr>
      <w:r w:rsidRPr="00F63C76">
        <w:rPr>
          <w:rFonts w:ascii="Times New Roman" w:eastAsia="方正小标宋_GBK" w:hAnsi="Times New Roman" w:cs="Times New Roman"/>
          <w:color w:val="000000"/>
          <w:kern w:val="0"/>
          <w:sz w:val="19"/>
          <w:szCs w:val="19"/>
          <w:lang w:val="zh-CN"/>
        </w:rPr>
        <w:t>(Department  of Senior Expert Diagnosis and Treatment, Nanjing Stomatological Hospital,Medical School of Nanjing University, Nanjing 210008,Jiangsu,China)</w:t>
      </w:r>
    </w:p>
    <w:p w14:paraId="657C7CAB" w14:textId="77777777" w:rsidR="00F63C76" w:rsidRPr="00F63C76" w:rsidRDefault="00F63C76" w:rsidP="00F63C76">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lang w:val="zh-CN"/>
        </w:rPr>
      </w:pPr>
    </w:p>
    <w:p w14:paraId="73C7917F" w14:textId="77777777" w:rsidR="00F63C76" w:rsidRPr="00F63C76" w:rsidRDefault="00F63C76" w:rsidP="00F63C7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lang w:val="zh-CN"/>
        </w:rPr>
      </w:pPr>
      <w:r w:rsidRPr="00F63C76">
        <w:rPr>
          <w:rFonts w:ascii="Didot HTF-B06-" w:eastAsia="方正小标宋_GBK" w:hAnsi="Didot HTF-B06-" w:cs="Didot HTF-B06-"/>
          <w:b/>
          <w:bCs/>
          <w:color w:val="000000"/>
          <w:kern w:val="0"/>
          <w:sz w:val="19"/>
          <w:szCs w:val="19"/>
          <w:lang w:val="zh-CN"/>
        </w:rPr>
        <w:t xml:space="preserve">Abstract: Objective </w:t>
      </w:r>
      <w:r w:rsidRPr="00F63C76">
        <w:rPr>
          <w:rFonts w:ascii="Times New Roman" w:eastAsia="方正小标宋_GBK" w:hAnsi="Times New Roman" w:cs="Times New Roman"/>
          <w:color w:val="000000"/>
          <w:kern w:val="0"/>
          <w:sz w:val="19"/>
          <w:szCs w:val="19"/>
          <w:lang w:val="zh-CN"/>
        </w:rPr>
        <w:t xml:space="preserve"> To explore the difference between one-time and multiple root canal therapy in the treatment of periapical periodontitis. </w:t>
      </w:r>
      <w:r w:rsidRPr="00F63C76">
        <w:rPr>
          <w:rFonts w:ascii="Didot HTF-B06-" w:eastAsia="方正小标宋_GBK" w:hAnsi="Didot HTF-B06-" w:cs="Didot HTF-B06-"/>
          <w:b/>
          <w:bCs/>
          <w:color w:val="000000"/>
          <w:kern w:val="0"/>
          <w:sz w:val="19"/>
          <w:szCs w:val="19"/>
          <w:lang w:val="zh-CN"/>
        </w:rPr>
        <w:t>Methods</w:t>
      </w:r>
      <w:r w:rsidRPr="00F63C76">
        <w:rPr>
          <w:rFonts w:ascii="Times New Roman" w:eastAsia="方正小标宋_GBK" w:hAnsi="Times New Roman" w:cs="Times New Roman"/>
          <w:color w:val="000000"/>
          <w:kern w:val="0"/>
          <w:sz w:val="19"/>
          <w:szCs w:val="19"/>
          <w:lang w:val="zh-CN"/>
        </w:rPr>
        <w:t xml:space="preserve"> 88 patients with periapical periodontitis in Nanjing stomatological hospital from June 2017 to June 2020 were selected as the research objects. They were randomly divided into control group and observation group, with 44 patients in each group. The control group used multiple root canal therapy, and the observation group used one-time root canal therapy. The treatment effect, filling effect, treatment time, pain (VAS score), alveolar bone mineral density, serum inflammatory response factor indexes [C-reactive protein (CRP), interleukin-2 (IL-2), interleukin-6 (IL-6)] and complications of the two groups were compared. </w:t>
      </w:r>
      <w:r w:rsidRPr="00F63C76">
        <w:rPr>
          <w:rFonts w:ascii="Didot HTF-B06-" w:eastAsia="方正小标宋_GBK" w:hAnsi="Didot HTF-B06-" w:cs="Didot HTF-B06-"/>
          <w:b/>
          <w:bCs/>
          <w:color w:val="000000"/>
          <w:kern w:val="0"/>
          <w:sz w:val="19"/>
          <w:szCs w:val="19"/>
          <w:lang w:val="zh-CN"/>
        </w:rPr>
        <w:t xml:space="preserve">Results </w:t>
      </w:r>
      <w:r w:rsidRPr="00F63C76">
        <w:rPr>
          <w:rFonts w:ascii="Times New Roman" w:eastAsia="方正小标宋_GBK" w:hAnsi="Times New Roman" w:cs="Times New Roman"/>
          <w:color w:val="000000"/>
          <w:kern w:val="0"/>
          <w:sz w:val="19"/>
          <w:szCs w:val="19"/>
          <w:lang w:val="zh-CN"/>
        </w:rPr>
        <w:t>The effective rate of the observation group was 100.00%, and that of the control group was 97.73% (P</w:t>
      </w:r>
      <w:r w:rsidRPr="00F63C76">
        <w:rPr>
          <w:rFonts w:ascii="宋体" w:eastAsia="宋体" w:hAnsi="Times New Roman" w:cs="宋体" w:hint="eastAsia"/>
          <w:color w:val="000000"/>
          <w:kern w:val="0"/>
          <w:sz w:val="19"/>
          <w:szCs w:val="19"/>
          <w:lang w:val="zh-CN"/>
        </w:rPr>
        <w:t>＞</w:t>
      </w:r>
      <w:r w:rsidRPr="00F63C76">
        <w:rPr>
          <w:rFonts w:ascii="Times New Roman" w:eastAsia="方正小标宋_GBK" w:hAnsi="Times New Roman" w:cs="Times New Roman"/>
          <w:color w:val="000000"/>
          <w:kern w:val="0"/>
          <w:sz w:val="19"/>
          <w:szCs w:val="19"/>
          <w:lang w:val="zh-CN"/>
        </w:rPr>
        <w:t>0.05). The good filling rate of the two groups was 100.00% (P</w:t>
      </w:r>
      <w:r w:rsidRPr="00F63C76">
        <w:rPr>
          <w:rFonts w:ascii="宋体" w:eastAsia="宋体" w:hAnsi="Times New Roman" w:cs="宋体" w:hint="eastAsia"/>
          <w:color w:val="000000"/>
          <w:kern w:val="0"/>
          <w:sz w:val="19"/>
          <w:szCs w:val="19"/>
          <w:lang w:val="zh-CN"/>
        </w:rPr>
        <w:t>＞</w:t>
      </w:r>
      <w:r w:rsidRPr="00F63C76">
        <w:rPr>
          <w:rFonts w:ascii="Times New Roman" w:eastAsia="方正小标宋_GBK" w:hAnsi="Times New Roman" w:cs="Times New Roman"/>
          <w:color w:val="000000"/>
          <w:kern w:val="0"/>
          <w:sz w:val="19"/>
          <w:szCs w:val="19"/>
          <w:lang w:val="zh-CN"/>
        </w:rPr>
        <w:t>0.05). The treatment time and VAS score of the observation group were lower than those of the control group (P</w:t>
      </w:r>
      <w:r w:rsidRPr="00F63C76">
        <w:rPr>
          <w:rFonts w:ascii="宋体" w:eastAsia="宋体" w:hAnsi="Times New Roman" w:cs="宋体" w:hint="eastAsia"/>
          <w:color w:val="000000"/>
          <w:kern w:val="0"/>
          <w:sz w:val="19"/>
          <w:szCs w:val="19"/>
          <w:lang w:val="zh-CN"/>
        </w:rPr>
        <w:t>＜</w:t>
      </w:r>
      <w:r w:rsidRPr="00F63C76">
        <w:rPr>
          <w:rFonts w:ascii="Times New Roman" w:eastAsia="方正小标宋_GBK" w:hAnsi="Times New Roman" w:cs="Times New Roman"/>
          <w:color w:val="000000"/>
          <w:kern w:val="0"/>
          <w:sz w:val="19"/>
          <w:szCs w:val="19"/>
          <w:lang w:val="zh-CN"/>
        </w:rPr>
        <w:t>0.05). One month after treatment, the alveolar bone mineral density of the two groups increased, and there was no significant difference between the two groups (P</w:t>
      </w:r>
      <w:r w:rsidRPr="00F63C76">
        <w:rPr>
          <w:rFonts w:ascii="宋体" w:eastAsia="宋体" w:hAnsi="Times New Roman" w:cs="宋体" w:hint="eastAsia"/>
          <w:color w:val="000000"/>
          <w:kern w:val="0"/>
          <w:sz w:val="19"/>
          <w:szCs w:val="19"/>
          <w:lang w:val="zh-CN"/>
        </w:rPr>
        <w:t>＞</w:t>
      </w:r>
      <w:r w:rsidRPr="00F63C76">
        <w:rPr>
          <w:rFonts w:ascii="Times New Roman" w:eastAsia="方正小标宋_GBK" w:hAnsi="Times New Roman" w:cs="Times New Roman"/>
          <w:color w:val="000000"/>
          <w:kern w:val="0"/>
          <w:sz w:val="19"/>
          <w:szCs w:val="19"/>
          <w:lang w:val="zh-CN"/>
        </w:rPr>
        <w:t>0.05). One month after treatment, CRP, IL-2 and IL-6 in the observation group were lower than those in the control group (P</w:t>
      </w:r>
      <w:r w:rsidRPr="00F63C76">
        <w:rPr>
          <w:rFonts w:ascii="宋体" w:eastAsia="宋体" w:hAnsi="Times New Roman" w:cs="宋体" w:hint="eastAsia"/>
          <w:color w:val="000000"/>
          <w:kern w:val="0"/>
          <w:sz w:val="19"/>
          <w:szCs w:val="19"/>
          <w:lang w:val="zh-CN"/>
        </w:rPr>
        <w:t>＜</w:t>
      </w:r>
      <w:r w:rsidRPr="00F63C76">
        <w:rPr>
          <w:rFonts w:ascii="Times New Roman" w:eastAsia="方正小标宋_GBK" w:hAnsi="Times New Roman" w:cs="Times New Roman"/>
          <w:color w:val="000000"/>
          <w:kern w:val="0"/>
          <w:sz w:val="19"/>
          <w:szCs w:val="19"/>
          <w:lang w:val="zh-CN"/>
        </w:rPr>
        <w:t>0.05). There was no significant difference in the incidence of complications between the two groups (P</w:t>
      </w:r>
      <w:r w:rsidRPr="00F63C76">
        <w:rPr>
          <w:rFonts w:ascii="宋体" w:eastAsia="宋体" w:hAnsi="Times New Roman" w:cs="宋体" w:hint="eastAsia"/>
          <w:color w:val="000000"/>
          <w:kern w:val="0"/>
          <w:sz w:val="19"/>
          <w:szCs w:val="19"/>
          <w:lang w:val="zh-CN"/>
        </w:rPr>
        <w:t>＞</w:t>
      </w:r>
      <w:r w:rsidRPr="00F63C76">
        <w:rPr>
          <w:rFonts w:ascii="Times New Roman" w:eastAsia="方正小标宋_GBK" w:hAnsi="Times New Roman" w:cs="Times New Roman"/>
          <w:color w:val="000000"/>
          <w:kern w:val="0"/>
          <w:sz w:val="19"/>
          <w:szCs w:val="19"/>
          <w:lang w:val="zh-CN"/>
        </w:rPr>
        <w:t xml:space="preserve">0.05). </w:t>
      </w:r>
      <w:r w:rsidRPr="00F63C76">
        <w:rPr>
          <w:rFonts w:ascii="Didot HTF-B06-" w:eastAsia="方正小标宋_GBK" w:hAnsi="Didot HTF-B06-" w:cs="Didot HTF-B06-"/>
          <w:b/>
          <w:bCs/>
          <w:color w:val="000000"/>
          <w:kern w:val="0"/>
          <w:sz w:val="19"/>
          <w:szCs w:val="19"/>
          <w:lang w:val="zh-CN"/>
        </w:rPr>
        <w:t xml:space="preserve"> Conclusion</w:t>
      </w:r>
      <w:r w:rsidRPr="00F63C76">
        <w:rPr>
          <w:rFonts w:ascii="Times New Roman" w:eastAsia="方正小标宋_GBK" w:hAnsi="Times New Roman" w:cs="Times New Roman"/>
          <w:color w:val="000000"/>
          <w:kern w:val="0"/>
          <w:sz w:val="19"/>
          <w:szCs w:val="19"/>
          <w:lang w:val="zh-CN"/>
        </w:rPr>
        <w:t xml:space="preserve">  In the treatment process of periapical periodontitis patients, the treatment effect and filling effect of one-time root canal filling treatment and multiple root canal filling treatment are very close, and the ability to improve alveolar bone mineral density is similar, which has good safety. However, one-time root canal therapy can significantly shorten the treatment time,reduce the degree of tissue damage and postoperative short-term pain .</w:t>
      </w:r>
    </w:p>
    <w:p w14:paraId="4A25AC1F" w14:textId="77777777" w:rsidR="00F63C76" w:rsidRPr="00F63C76" w:rsidRDefault="00F63C76" w:rsidP="00F63C7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lang w:val="zh-CN"/>
        </w:rPr>
      </w:pPr>
      <w:r w:rsidRPr="00F63C76">
        <w:rPr>
          <w:rFonts w:ascii="Didot HTF-B06-" w:eastAsia="方正小标宋_GBK" w:hAnsi="Didot HTF-B06-" w:cs="Didot HTF-B06-"/>
          <w:b/>
          <w:bCs/>
          <w:color w:val="000000"/>
          <w:kern w:val="0"/>
          <w:sz w:val="19"/>
          <w:szCs w:val="19"/>
          <w:lang w:val="zh-CN"/>
        </w:rPr>
        <w:t>Key words:</w:t>
      </w:r>
      <w:r w:rsidRPr="00F63C76">
        <w:rPr>
          <w:rFonts w:ascii="Times New Roman" w:eastAsia="方正小标宋_GBK" w:hAnsi="Times New Roman" w:cs="Times New Roman"/>
          <w:color w:val="000000"/>
          <w:kern w:val="0"/>
          <w:sz w:val="19"/>
          <w:szCs w:val="19"/>
          <w:lang w:val="zh-CN"/>
        </w:rPr>
        <w:t xml:space="preserve"> root canal treatment; apical periodontitis; alveolar bone; pain; closure</w:t>
      </w:r>
    </w:p>
    <w:p w14:paraId="3BA1F469" w14:textId="342C5459" w:rsidR="00BA7C01" w:rsidRPr="00F63C76" w:rsidRDefault="00BA7C01" w:rsidP="00F63C76"/>
    <w:sectPr w:rsidR="00BA7C01" w:rsidRPr="00F63C76" w:rsidSect="00043422">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2BF1B" w14:textId="77777777" w:rsidR="003F34A5" w:rsidRDefault="003F34A5" w:rsidP="00D23F7F">
      <w:r>
        <w:separator/>
      </w:r>
    </w:p>
  </w:endnote>
  <w:endnote w:type="continuationSeparator" w:id="0">
    <w:p w14:paraId="2E5E0159" w14:textId="77777777" w:rsidR="003F34A5" w:rsidRDefault="003F34A5"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D4034" w14:textId="77777777" w:rsidR="003F34A5" w:rsidRDefault="003F34A5" w:rsidP="00D23F7F">
      <w:r>
        <w:separator/>
      </w:r>
    </w:p>
  </w:footnote>
  <w:footnote w:type="continuationSeparator" w:id="0">
    <w:p w14:paraId="10CE4927" w14:textId="77777777" w:rsidR="003F34A5" w:rsidRDefault="003F34A5"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6274"/>
    <w:rsid w:val="00073129"/>
    <w:rsid w:val="000A50FC"/>
    <w:rsid w:val="0015046F"/>
    <w:rsid w:val="001A0B15"/>
    <w:rsid w:val="001A1019"/>
    <w:rsid w:val="001F7D5A"/>
    <w:rsid w:val="00263E1B"/>
    <w:rsid w:val="0029201E"/>
    <w:rsid w:val="002E6956"/>
    <w:rsid w:val="00323F2F"/>
    <w:rsid w:val="003A32F2"/>
    <w:rsid w:val="003B18A2"/>
    <w:rsid w:val="003F34A5"/>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C6447"/>
    <w:rsid w:val="005D305A"/>
    <w:rsid w:val="00625FE7"/>
    <w:rsid w:val="00647A10"/>
    <w:rsid w:val="00683D5C"/>
    <w:rsid w:val="006C275C"/>
    <w:rsid w:val="00745F53"/>
    <w:rsid w:val="00770B65"/>
    <w:rsid w:val="007C294F"/>
    <w:rsid w:val="007D3248"/>
    <w:rsid w:val="00822E2C"/>
    <w:rsid w:val="0083040C"/>
    <w:rsid w:val="00866941"/>
    <w:rsid w:val="008D3F44"/>
    <w:rsid w:val="008E2730"/>
    <w:rsid w:val="009109D7"/>
    <w:rsid w:val="00931856"/>
    <w:rsid w:val="009850DB"/>
    <w:rsid w:val="009910A6"/>
    <w:rsid w:val="009C3D09"/>
    <w:rsid w:val="009E111D"/>
    <w:rsid w:val="009F7976"/>
    <w:rsid w:val="00A00D8E"/>
    <w:rsid w:val="00A31D12"/>
    <w:rsid w:val="00A77B8E"/>
    <w:rsid w:val="00AD33AA"/>
    <w:rsid w:val="00AF463E"/>
    <w:rsid w:val="00B80045"/>
    <w:rsid w:val="00BA1089"/>
    <w:rsid w:val="00BA18EC"/>
    <w:rsid w:val="00BA79FD"/>
    <w:rsid w:val="00BA7C01"/>
    <w:rsid w:val="00BE48B2"/>
    <w:rsid w:val="00C412BA"/>
    <w:rsid w:val="00C4673F"/>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797</TotalTime>
  <Pages>1</Pages>
  <Words>453</Words>
  <Characters>2587</Characters>
  <Application>Microsoft Office Word</Application>
  <DocSecurity>0</DocSecurity>
  <Lines>21</Lines>
  <Paragraphs>6</Paragraphs>
  <ScaleCrop>false</ScaleCrop>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89</cp:revision>
  <dcterms:created xsi:type="dcterms:W3CDTF">2022-03-07T01:53:00Z</dcterms:created>
  <dcterms:modified xsi:type="dcterms:W3CDTF">2022-04-11T02:05:00Z</dcterms:modified>
</cp:coreProperties>
</file>