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EFD53" w14:textId="77777777" w:rsidR="000C42BF" w:rsidRPr="000C42BF" w:rsidRDefault="000C42BF" w:rsidP="000C42BF">
      <w:pPr>
        <w:autoSpaceDE w:val="0"/>
        <w:autoSpaceDN w:val="0"/>
        <w:adjustRightInd w:val="0"/>
        <w:spacing w:line="400" w:lineRule="atLeast"/>
        <w:jc w:val="center"/>
        <w:textAlignment w:val="center"/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</w:pPr>
      <w:r w:rsidRPr="000C42BF"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  <w:t>B</w:t>
      </w:r>
      <w:r w:rsidRPr="000C42BF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超引导下</w:t>
      </w:r>
      <w:r w:rsidRPr="000C42BF">
        <w:rPr>
          <w:rFonts w:ascii="方正小标宋_GBK" w:eastAsia="方正小标宋_GBK" w:cs="方正小标宋_GBK"/>
          <w:color w:val="920883"/>
          <w:kern w:val="0"/>
          <w:sz w:val="30"/>
          <w:szCs w:val="30"/>
          <w:lang w:val="zh-CN"/>
        </w:rPr>
        <w:t>1 470 nm</w:t>
      </w:r>
      <w:r w:rsidRPr="000C42BF">
        <w:rPr>
          <w:rFonts w:ascii="方正小标宋_GBK" w:eastAsia="方正小标宋_GBK" w:cs="方正小标宋_GBK" w:hint="eastAsia"/>
          <w:color w:val="920883"/>
          <w:kern w:val="0"/>
          <w:sz w:val="30"/>
          <w:szCs w:val="30"/>
          <w:lang w:val="zh-CN"/>
        </w:rPr>
        <w:t>激光联合聚桂醇治疗腱鞘囊肿的临床疗效</w:t>
      </w:r>
    </w:p>
    <w:p w14:paraId="4E392C19" w14:textId="77777777" w:rsidR="000C42BF" w:rsidRPr="000C42BF" w:rsidRDefault="000C42BF" w:rsidP="000C42BF">
      <w:pPr>
        <w:autoSpaceDE w:val="0"/>
        <w:autoSpaceDN w:val="0"/>
        <w:adjustRightInd w:val="0"/>
        <w:spacing w:line="34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</w:pPr>
      <w:r w:rsidRPr="000C42BF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史玉仓，周志红，龚鑫沁，叶犀皓，吴泽勇，黄海华，吴志远，梁</w:t>
      </w:r>
      <w:r w:rsidRPr="000C42BF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0C42BF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杰</w:t>
      </w:r>
    </w:p>
    <w:p w14:paraId="025D97D9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</w:pPr>
      <w:r w:rsidRPr="000C42BF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(</w:t>
      </w:r>
      <w:r w:rsidRPr="000C42BF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广东医科大学附属医院整形外科</w:t>
      </w:r>
      <w:r w:rsidRPr="000C42BF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0C42BF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广东</w:t>
      </w:r>
      <w:r w:rsidRPr="000C42BF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0C42BF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湛江</w:t>
      </w:r>
      <w:r w:rsidRPr="000C42BF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524001)</w:t>
      </w:r>
    </w:p>
    <w:p w14:paraId="5B970E5C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</w:p>
    <w:p w14:paraId="4D0ED7E9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摘要</w:t>
      </w: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目的：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初步探讨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超引导下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</w:t>
      </w:r>
      <w:r w:rsidRPr="000C42BF">
        <w:rPr>
          <w:rFonts w:ascii="MS Gothic" w:eastAsia="MS Gothic" w:hAnsi="MS Gothic" w:cs="MS Gothic" w:hint="eastAsia"/>
          <w:color w:val="000000"/>
          <w:kern w:val="0"/>
          <w:sz w:val="18"/>
          <w:szCs w:val="18"/>
          <w:lang w:val="zh-CN"/>
        </w:rPr>
        <w:t> 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470</w:t>
      </w:r>
      <w:r w:rsidRPr="000C42BF">
        <w:rPr>
          <w:rFonts w:ascii="MS Gothic" w:eastAsia="MS Gothic" w:hAnsi="MS Gothic" w:cs="MS Gothic" w:hint="eastAsia"/>
          <w:color w:val="000000"/>
          <w:kern w:val="0"/>
          <w:sz w:val="18"/>
          <w:szCs w:val="18"/>
          <w:lang w:val="zh-CN"/>
        </w:rPr>
        <w:t> 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nm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激光联合聚桂醇泡沫硬化剂治疗腱鞘囊肿的临床疗效。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方法：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113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例腱鞘囊肿按治疗方法分为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A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(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微创组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)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，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(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外科手术组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)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。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A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61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例采用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超引导下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</w:t>
      </w:r>
      <w:r w:rsidRPr="000C42BF">
        <w:rPr>
          <w:rFonts w:ascii="MS Gothic" w:eastAsia="MS Gothic" w:hAnsi="MS Gothic" w:cs="MS Gothic" w:hint="eastAsia"/>
          <w:color w:val="000000"/>
          <w:kern w:val="0"/>
          <w:sz w:val="18"/>
          <w:szCs w:val="18"/>
          <w:lang w:val="zh-CN"/>
        </w:rPr>
        <w:t> 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470</w:t>
      </w:r>
      <w:r w:rsidRPr="000C42BF">
        <w:rPr>
          <w:rFonts w:ascii="MS Gothic" w:eastAsia="MS Gothic" w:hAnsi="MS Gothic" w:cs="MS Gothic" w:hint="eastAsia"/>
          <w:color w:val="000000"/>
          <w:kern w:val="0"/>
          <w:sz w:val="18"/>
          <w:szCs w:val="18"/>
          <w:lang w:val="zh-CN"/>
        </w:rPr>
        <w:t> 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nm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激光消融、聚桂醇硬化治疗；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52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例采用传统手术方法，术后随访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6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～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24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个月，复查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超，比较两组之间的有效率、复发率、并发症发生率。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结果：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A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组治疗后，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56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例治疗有效，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5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例复发，并发症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4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例；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组治疗后，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40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例有效，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12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例术后复发，并发症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例。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A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组有效率高于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组，差异具有统计学意义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(P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0.05)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；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A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组复发率、并发症发生率均低于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组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(P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0.05)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。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结论：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B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超引导下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</w:t>
      </w:r>
      <w:r w:rsidRPr="000C42BF">
        <w:rPr>
          <w:rFonts w:ascii="MS Gothic" w:eastAsia="MS Gothic" w:hAnsi="MS Gothic" w:cs="MS Gothic" w:hint="eastAsia"/>
          <w:color w:val="000000"/>
          <w:kern w:val="0"/>
          <w:sz w:val="18"/>
          <w:szCs w:val="18"/>
          <w:lang w:val="zh-CN"/>
        </w:rPr>
        <w:t> 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470</w:t>
      </w:r>
      <w:r w:rsidRPr="000C42BF">
        <w:rPr>
          <w:rFonts w:ascii="MS Gothic" w:eastAsia="MS Gothic" w:hAnsi="MS Gothic" w:cs="MS Gothic" w:hint="eastAsia"/>
          <w:color w:val="000000"/>
          <w:kern w:val="0"/>
          <w:sz w:val="18"/>
          <w:szCs w:val="18"/>
          <w:lang w:val="zh-CN"/>
        </w:rPr>
        <w:t> 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nm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激光联合聚桂醇治疗腱鞘囊肿效果良好，且较外科手术可有效降低复发率与并发症的发生率。</w:t>
      </w:r>
    </w:p>
    <w:p w14:paraId="4D7DD31F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关键词</w:t>
      </w: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腱鞘囊肿；激光；超声；硬化治疗；聚桂醇</w:t>
      </w:r>
    </w:p>
    <w:p w14:paraId="6F191F0E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中图分类号</w:t>
      </w: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R686.1   </w:t>
      </w: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文献标志码</w:t>
      </w: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A   </w:t>
      </w: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 xml:space="preserve"> [</w:t>
      </w:r>
      <w:r w:rsidRPr="000C42BF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文章编号</w:t>
      </w:r>
      <w:r w:rsidRPr="000C42BF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1008-6455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（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2022</w:t>
      </w:r>
      <w:r w:rsidRPr="000C42BF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</w:t>
      </w:r>
      <w:r w:rsidRPr="000C42BF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04-0052-03</w:t>
      </w:r>
    </w:p>
    <w:p w14:paraId="31C95146" w14:textId="77777777" w:rsidR="000C42BF" w:rsidRPr="000C42BF" w:rsidRDefault="000C42BF" w:rsidP="000C42BF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  <w:lang w:val="zh-CN"/>
        </w:rPr>
      </w:pPr>
    </w:p>
    <w:p w14:paraId="133FC792" w14:textId="77777777" w:rsidR="000C42BF" w:rsidRPr="000C42BF" w:rsidRDefault="000C42BF" w:rsidP="000C42BF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</w:pPr>
      <w:r w:rsidRPr="000C42BF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Clinical Eeffect of Lauromacrogol Combined with 1</w:t>
      </w:r>
      <w:r w:rsidRPr="000C42BF">
        <w:rPr>
          <w:rFonts w:ascii="MS Gothic" w:eastAsia="MS Gothic" w:hAnsi="MS Gothic" w:cs="MS Gothic" w:hint="eastAsia"/>
          <w:color w:val="920883"/>
          <w:kern w:val="0"/>
          <w:sz w:val="24"/>
          <w:szCs w:val="24"/>
        </w:rPr>
        <w:t> </w:t>
      </w:r>
      <w:r w:rsidRPr="000C42BF">
        <w:rPr>
          <w:rFonts w:ascii="ITC Avant Garde Gothic Demi" w:eastAsia="方正小标宋_GBK" w:hAnsi="ITC Avant Garde Gothic Demi" w:cs="ITC Avant Garde Gothic Demi"/>
          <w:color w:val="920883"/>
          <w:kern w:val="0"/>
          <w:sz w:val="24"/>
          <w:szCs w:val="24"/>
        </w:rPr>
        <w:t>470 nm Laser in the Treatment of Ganglion Cyst Under Ultrasound</w:t>
      </w:r>
    </w:p>
    <w:p w14:paraId="10D7D70D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0C42B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SHI Yucang,ZHOU Zhihong,GONG Xinqin,YE Xihao,WU Zeyong,HUANG Haihua,</w:t>
      </w:r>
    </w:p>
    <w:p w14:paraId="4361CB3D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0C42BF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WU Zhiyuan,LIANG Jie</w:t>
      </w:r>
    </w:p>
    <w:p w14:paraId="19BEC1DF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(Department of Plastic Surgery,Affiliated Hospital of Guangdong Medical University,Zhanjiang 524001,Guangdong,China)</w:t>
      </w:r>
    </w:p>
    <w:p w14:paraId="46205244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14:paraId="6100D4C4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0C42BF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Abstract: Objective </w:t>
      </w: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To investigate the clinical efficacy of B-ultrasound guided Lauromacrogol combined with 1 470 nm laser in the treatment of ganglion cysts. </w:t>
      </w:r>
      <w:r w:rsidRPr="000C42BF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Methods </w:t>
      </w: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Retrospective analysis 113 cases of ganglion cysts treated in our hospital and divided them into group A (minimally invasive group) according to the treatment method, Group B (surgical operation group). Among them, 61 patients in group A were treated with 1 470 nm laser ablation and lauromacrogol sclerotherapy under the guidance of B-ultrasound, 52 patients in group B were treated with traditional surgical methods, and the B-ultrasound was reviewed 6-24 months after surgery. The effective rate, recurrence and complication rate between the two groups were compared. </w:t>
      </w:r>
      <w:r w:rsidRPr="000C42BF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Results </w:t>
      </w: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In group A, 56 cases were effective, 5 cases recurred, and 4 cases were complications during the treatment.after treatment in group B, 40 cases were effective, 12 cases recurred, and 10 cases were complications,The effective rate of group A was higher than that of group B, and the difference was statistically significant (P</w:t>
      </w:r>
      <w:r w:rsidRPr="000C42BF">
        <w:rPr>
          <w:rFonts w:ascii="宋体" w:eastAsia="宋体" w:hAnsi="Times New Roman" w:cs="宋体" w:hint="eastAsia"/>
          <w:color w:val="000000"/>
          <w:kern w:val="0"/>
          <w:sz w:val="19"/>
          <w:szCs w:val="19"/>
        </w:rPr>
        <w:t>＜</w:t>
      </w: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0.05). Compared with group B,  the recurrence rate and complication rate were lower than those of group B, and the difference was statistically significant (P</w:t>
      </w:r>
      <w:r w:rsidRPr="000C42BF">
        <w:rPr>
          <w:rFonts w:ascii="宋体" w:eastAsia="宋体" w:hAnsi="Times New Roman" w:cs="宋体" w:hint="eastAsia"/>
          <w:color w:val="000000"/>
          <w:kern w:val="0"/>
          <w:sz w:val="19"/>
          <w:szCs w:val="19"/>
        </w:rPr>
        <w:t>＜</w:t>
      </w: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0.05). </w:t>
      </w:r>
      <w:r w:rsidRPr="000C42BF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>Conclusion</w:t>
      </w: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The combination of 1 470 nm laser and Lauromacrogol under the guidance of B-ultrasound is a safe, effective and low recurrence method for the treatment of ganglion cyst.</w:t>
      </w:r>
    </w:p>
    <w:p w14:paraId="77EF49C7" w14:textId="77777777" w:rsidR="000C42BF" w:rsidRPr="000C42BF" w:rsidRDefault="000C42BF" w:rsidP="000C42BF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0C42BF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Key words: </w:t>
      </w:r>
      <w:r w:rsidRPr="000C42BF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ganglion cyst; laser; ultrasound; sclerotherapy; lauromacrogol</w:t>
      </w:r>
    </w:p>
    <w:p w14:paraId="3BA1F469" w14:textId="342C5459" w:rsidR="00BA7C01" w:rsidRPr="000C42BF" w:rsidRDefault="00BA7C01" w:rsidP="000C42BF"/>
    <w:sectPr w:rsidR="00BA7C01" w:rsidRPr="000C42BF" w:rsidSect="002A5F5C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98165" w14:textId="77777777" w:rsidR="006D5D7B" w:rsidRDefault="006D5D7B" w:rsidP="00D23F7F">
      <w:r>
        <w:separator/>
      </w:r>
    </w:p>
  </w:endnote>
  <w:endnote w:type="continuationSeparator" w:id="0">
    <w:p w14:paraId="61D257CC" w14:textId="77777777" w:rsidR="006D5D7B" w:rsidRDefault="006D5D7B" w:rsidP="00D2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800000AF" w:usb1="50000048" w:usb2="00000000" w:usb3="00000000" w:csb0="0000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7E3F4" w14:textId="77777777" w:rsidR="006D5D7B" w:rsidRDefault="006D5D7B" w:rsidP="00D23F7F">
      <w:r>
        <w:separator/>
      </w:r>
    </w:p>
  </w:footnote>
  <w:footnote w:type="continuationSeparator" w:id="0">
    <w:p w14:paraId="144BEE07" w14:textId="77777777" w:rsidR="006D5D7B" w:rsidRDefault="006D5D7B" w:rsidP="00D23F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01E"/>
    <w:rsid w:val="00000793"/>
    <w:rsid w:val="00021C6E"/>
    <w:rsid w:val="00031346"/>
    <w:rsid w:val="00040D5D"/>
    <w:rsid w:val="00046274"/>
    <w:rsid w:val="00053A3C"/>
    <w:rsid w:val="00073129"/>
    <w:rsid w:val="000A50FC"/>
    <w:rsid w:val="000C42BF"/>
    <w:rsid w:val="0013362D"/>
    <w:rsid w:val="0015046F"/>
    <w:rsid w:val="001A0B15"/>
    <w:rsid w:val="001A1019"/>
    <w:rsid w:val="001F7D5A"/>
    <w:rsid w:val="00263E1B"/>
    <w:rsid w:val="0029201E"/>
    <w:rsid w:val="002E6956"/>
    <w:rsid w:val="00323F2F"/>
    <w:rsid w:val="00327E6E"/>
    <w:rsid w:val="003A32F2"/>
    <w:rsid w:val="003B18A2"/>
    <w:rsid w:val="0040017D"/>
    <w:rsid w:val="00413C67"/>
    <w:rsid w:val="00475FEA"/>
    <w:rsid w:val="00484E70"/>
    <w:rsid w:val="004A2446"/>
    <w:rsid w:val="004A33B5"/>
    <w:rsid w:val="004A62F6"/>
    <w:rsid w:val="004B3559"/>
    <w:rsid w:val="004B633A"/>
    <w:rsid w:val="004C1FE6"/>
    <w:rsid w:val="004D67C0"/>
    <w:rsid w:val="004E484C"/>
    <w:rsid w:val="00506DAC"/>
    <w:rsid w:val="0052503D"/>
    <w:rsid w:val="005469F8"/>
    <w:rsid w:val="0055108A"/>
    <w:rsid w:val="0059693B"/>
    <w:rsid w:val="005C6447"/>
    <w:rsid w:val="005D305A"/>
    <w:rsid w:val="00625FE7"/>
    <w:rsid w:val="00647A10"/>
    <w:rsid w:val="006564E5"/>
    <w:rsid w:val="00683D5C"/>
    <w:rsid w:val="006C275C"/>
    <w:rsid w:val="006D5D7B"/>
    <w:rsid w:val="00745F53"/>
    <w:rsid w:val="00770B65"/>
    <w:rsid w:val="007C196A"/>
    <w:rsid w:val="007C294F"/>
    <w:rsid w:val="007D3248"/>
    <w:rsid w:val="00822E2C"/>
    <w:rsid w:val="0083040C"/>
    <w:rsid w:val="00866941"/>
    <w:rsid w:val="00880E6C"/>
    <w:rsid w:val="008D3F44"/>
    <w:rsid w:val="008E2730"/>
    <w:rsid w:val="009109D7"/>
    <w:rsid w:val="00931856"/>
    <w:rsid w:val="009850DB"/>
    <w:rsid w:val="009910A6"/>
    <w:rsid w:val="009C3D09"/>
    <w:rsid w:val="009E111D"/>
    <w:rsid w:val="009E4686"/>
    <w:rsid w:val="009F7976"/>
    <w:rsid w:val="00A00D8E"/>
    <w:rsid w:val="00A31D12"/>
    <w:rsid w:val="00A77B8E"/>
    <w:rsid w:val="00AD33AA"/>
    <w:rsid w:val="00AF463E"/>
    <w:rsid w:val="00B6639A"/>
    <w:rsid w:val="00B80045"/>
    <w:rsid w:val="00B817FA"/>
    <w:rsid w:val="00BA1089"/>
    <w:rsid w:val="00BA18EC"/>
    <w:rsid w:val="00BA79FD"/>
    <w:rsid w:val="00BA7C01"/>
    <w:rsid w:val="00BE48B2"/>
    <w:rsid w:val="00C412BA"/>
    <w:rsid w:val="00C4673F"/>
    <w:rsid w:val="00C50D8F"/>
    <w:rsid w:val="00C76963"/>
    <w:rsid w:val="00C85D9D"/>
    <w:rsid w:val="00CA62A7"/>
    <w:rsid w:val="00CB3243"/>
    <w:rsid w:val="00CB7C9B"/>
    <w:rsid w:val="00CC0563"/>
    <w:rsid w:val="00CD1387"/>
    <w:rsid w:val="00CE2B3A"/>
    <w:rsid w:val="00D16763"/>
    <w:rsid w:val="00D23F7F"/>
    <w:rsid w:val="00DA6E93"/>
    <w:rsid w:val="00DB59CA"/>
    <w:rsid w:val="00DF5338"/>
    <w:rsid w:val="00E11B69"/>
    <w:rsid w:val="00E14262"/>
    <w:rsid w:val="00EB44A0"/>
    <w:rsid w:val="00ED5DCC"/>
    <w:rsid w:val="00EE2797"/>
    <w:rsid w:val="00EE2922"/>
    <w:rsid w:val="00F42929"/>
    <w:rsid w:val="00F63C76"/>
    <w:rsid w:val="00F72F18"/>
    <w:rsid w:val="00F76725"/>
    <w:rsid w:val="00F95FBD"/>
    <w:rsid w:val="00FB58EA"/>
    <w:rsid w:val="00FD1CDC"/>
    <w:rsid w:val="00FD4782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17D99"/>
  <w15:chartTrackingRefBased/>
  <w15:docId w15:val="{DD61D9C1-C0F9-453C-B062-FE57B3C3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正文"/>
    <w:basedOn w:val="a"/>
    <w:uiPriority w:val="99"/>
    <w:rsid w:val="00DF5338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  <w:style w:type="paragraph" w:customStyle="1" w:styleId="a4">
    <w:name w:val="中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5">
    <w:name w:val="英文大标题"/>
    <w:basedOn w:val="a"/>
    <w:uiPriority w:val="99"/>
    <w:rsid w:val="00DF533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920883"/>
      <w:kern w:val="0"/>
      <w:sz w:val="24"/>
      <w:szCs w:val="24"/>
      <w:lang w:val="zh-CN"/>
    </w:rPr>
  </w:style>
  <w:style w:type="paragraph" w:customStyle="1" w:styleId="a6">
    <w:name w:val="英文作者名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7">
    <w:name w:val="英文括号地址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8">
    <w:name w:val="英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DF533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DF5338"/>
    <w:rPr>
      <w:rFonts w:ascii="Didot HTF-B06-" w:hAnsi="Didot HTF-B06-" w:cs="Didot HTF-B06-"/>
      <w:b/>
      <w:bCs/>
      <w:sz w:val="19"/>
      <w:szCs w:val="19"/>
    </w:rPr>
  </w:style>
  <w:style w:type="paragraph" w:customStyle="1" w:styleId="a9">
    <w:name w:val="中文大标题"/>
    <w:basedOn w:val="a"/>
    <w:uiPriority w:val="99"/>
    <w:rsid w:val="00647A10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920883"/>
      <w:kern w:val="0"/>
      <w:sz w:val="30"/>
      <w:szCs w:val="30"/>
      <w:lang w:val="zh-CN"/>
    </w:rPr>
  </w:style>
  <w:style w:type="paragraph" w:customStyle="1" w:styleId="aa">
    <w:name w:val="作者名中文"/>
    <w:basedOn w:val="a"/>
    <w:uiPriority w:val="99"/>
    <w:rsid w:val="00647A10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b">
    <w:name w:val="中文括号地址"/>
    <w:basedOn w:val="a"/>
    <w:uiPriority w:val="99"/>
    <w:rsid w:val="00647A10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styleId="ac">
    <w:name w:val="header"/>
    <w:basedOn w:val="a"/>
    <w:link w:val="ad"/>
    <w:uiPriority w:val="99"/>
    <w:unhideWhenUsed/>
    <w:rsid w:val="00D23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D23F7F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D23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D23F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104</cp:revision>
  <dcterms:created xsi:type="dcterms:W3CDTF">2022-03-07T01:53:00Z</dcterms:created>
  <dcterms:modified xsi:type="dcterms:W3CDTF">2022-05-05T02:54:00Z</dcterms:modified>
</cp:coreProperties>
</file>