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892EA" w14:textId="77777777" w:rsidR="00B76C9A" w:rsidRPr="00B76C9A" w:rsidRDefault="00B76C9A" w:rsidP="00B76C9A">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proofErr w:type="gramStart"/>
      <w:r w:rsidRPr="00B76C9A">
        <w:rPr>
          <w:rFonts w:ascii="方正小标宋_GBK" w:eastAsia="方正小标宋_GBK" w:cs="方正小标宋_GBK" w:hint="eastAsia"/>
          <w:color w:val="7F00FF"/>
          <w:kern w:val="0"/>
          <w:sz w:val="30"/>
          <w:szCs w:val="30"/>
          <w:lang w:val="zh-CN"/>
        </w:rPr>
        <w:t>上睑双蒂肌皮瓣</w:t>
      </w:r>
      <w:proofErr w:type="gramEnd"/>
      <w:r w:rsidRPr="00B76C9A">
        <w:rPr>
          <w:rFonts w:ascii="方正小标宋_GBK" w:eastAsia="方正小标宋_GBK" w:cs="方正小标宋_GBK" w:hint="eastAsia"/>
          <w:color w:val="7F00FF"/>
          <w:kern w:val="0"/>
          <w:sz w:val="30"/>
          <w:szCs w:val="30"/>
          <w:lang w:val="zh-CN"/>
        </w:rPr>
        <w:t>在瘢痕性下睑外翻修复中的应用效果分析</w:t>
      </w:r>
    </w:p>
    <w:p w14:paraId="10191345" w14:textId="77777777" w:rsidR="00B76C9A" w:rsidRPr="00B76C9A" w:rsidRDefault="00B76C9A" w:rsidP="00B76C9A">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B76C9A">
        <w:rPr>
          <w:rFonts w:ascii="方正楷体_GBK" w:eastAsia="方正楷体_GBK" w:cs="方正楷体_GBK" w:hint="eastAsia"/>
          <w:color w:val="000000"/>
          <w:kern w:val="0"/>
          <w:sz w:val="24"/>
          <w:szCs w:val="24"/>
          <w:lang w:val="zh-CN"/>
        </w:rPr>
        <w:t>方</w:t>
      </w:r>
      <w:r w:rsidRPr="00B76C9A">
        <w:rPr>
          <w:rFonts w:ascii="方正楷体_GBK" w:eastAsia="方正楷体_GBK" w:cs="方正楷体_GBK"/>
          <w:color w:val="000000"/>
          <w:kern w:val="0"/>
          <w:sz w:val="24"/>
          <w:szCs w:val="24"/>
          <w:lang w:val="zh-CN"/>
        </w:rPr>
        <w:t xml:space="preserve"> </w:t>
      </w:r>
      <w:r w:rsidRPr="00B76C9A">
        <w:rPr>
          <w:rFonts w:ascii="方正楷体_GBK" w:eastAsia="方正楷体_GBK" w:cs="方正楷体_GBK" w:hint="eastAsia"/>
          <w:color w:val="000000"/>
          <w:kern w:val="0"/>
          <w:sz w:val="24"/>
          <w:szCs w:val="24"/>
          <w:lang w:val="zh-CN"/>
        </w:rPr>
        <w:t>涛</w:t>
      </w:r>
      <w:r w:rsidRPr="00B76C9A">
        <w:rPr>
          <w:rFonts w:ascii="方正楷体_GBK" w:eastAsia="方正楷体_GBK" w:cs="方正楷体_GBK"/>
          <w:color w:val="000000"/>
          <w:kern w:val="0"/>
          <w:sz w:val="24"/>
          <w:szCs w:val="24"/>
          <w:vertAlign w:val="superscript"/>
          <w:lang w:val="zh-CN"/>
        </w:rPr>
        <w:t>1</w:t>
      </w:r>
      <w:r w:rsidRPr="00B76C9A">
        <w:rPr>
          <w:rFonts w:ascii="方正楷体_GBK" w:eastAsia="方正楷体_GBK" w:cs="方正楷体_GBK" w:hint="eastAsia"/>
          <w:color w:val="000000"/>
          <w:kern w:val="0"/>
          <w:sz w:val="24"/>
          <w:szCs w:val="24"/>
          <w:lang w:val="zh-CN"/>
        </w:rPr>
        <w:t>，张永升</w:t>
      </w:r>
      <w:r w:rsidRPr="00B76C9A">
        <w:rPr>
          <w:rFonts w:ascii="方正楷体_GBK" w:eastAsia="方正楷体_GBK" w:cs="方正楷体_GBK"/>
          <w:color w:val="000000"/>
          <w:kern w:val="0"/>
          <w:sz w:val="24"/>
          <w:szCs w:val="24"/>
          <w:vertAlign w:val="superscript"/>
          <w:lang w:val="zh-CN"/>
        </w:rPr>
        <w:t>1</w:t>
      </w:r>
      <w:r w:rsidRPr="00B76C9A">
        <w:rPr>
          <w:rFonts w:ascii="方正楷体_GBK" w:eastAsia="方正楷体_GBK" w:cs="方正楷体_GBK" w:hint="eastAsia"/>
          <w:color w:val="000000"/>
          <w:kern w:val="0"/>
          <w:sz w:val="24"/>
          <w:szCs w:val="24"/>
          <w:lang w:val="zh-CN"/>
        </w:rPr>
        <w:t>，</w:t>
      </w:r>
      <w:proofErr w:type="gramStart"/>
      <w:r w:rsidRPr="00B76C9A">
        <w:rPr>
          <w:rFonts w:ascii="方正楷体_GBK" w:eastAsia="方正楷体_GBK" w:cs="方正楷体_GBK" w:hint="eastAsia"/>
          <w:color w:val="000000"/>
          <w:kern w:val="0"/>
          <w:sz w:val="24"/>
          <w:szCs w:val="24"/>
          <w:lang w:val="zh-CN"/>
        </w:rPr>
        <w:t>李鸿强</w:t>
      </w:r>
      <w:proofErr w:type="gramEnd"/>
      <w:r w:rsidRPr="00B76C9A">
        <w:rPr>
          <w:rFonts w:ascii="方正楷体_GBK" w:eastAsia="方正楷体_GBK" w:cs="方正楷体_GBK"/>
          <w:color w:val="000000"/>
          <w:kern w:val="0"/>
          <w:sz w:val="24"/>
          <w:szCs w:val="24"/>
          <w:vertAlign w:val="superscript"/>
          <w:lang w:val="zh-CN"/>
        </w:rPr>
        <w:t>2</w:t>
      </w:r>
    </w:p>
    <w:p w14:paraId="2D050600" w14:textId="77777777" w:rsidR="00B76C9A" w:rsidRPr="00B76C9A" w:rsidRDefault="00B76C9A" w:rsidP="00B76C9A">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B76C9A">
        <w:rPr>
          <w:rFonts w:ascii="方正楷体_GBK" w:eastAsia="方正楷体_GBK" w:cs="方正楷体_GBK" w:hint="eastAsia"/>
          <w:color w:val="000000"/>
          <w:kern w:val="0"/>
          <w:sz w:val="18"/>
          <w:szCs w:val="18"/>
          <w:lang w:val="zh-CN"/>
        </w:rPr>
        <w:t>（</w:t>
      </w:r>
      <w:r w:rsidRPr="00B76C9A">
        <w:rPr>
          <w:rFonts w:ascii="方正楷体_GBK" w:eastAsia="方正楷体_GBK" w:cs="方正楷体_GBK"/>
          <w:color w:val="000000"/>
          <w:kern w:val="0"/>
          <w:sz w:val="18"/>
          <w:szCs w:val="18"/>
          <w:lang w:val="zh-CN"/>
        </w:rPr>
        <w:t>1.</w:t>
      </w:r>
      <w:r w:rsidRPr="00B76C9A">
        <w:rPr>
          <w:rFonts w:ascii="方正楷体_GBK" w:eastAsia="方正楷体_GBK" w:cs="方正楷体_GBK" w:hint="eastAsia"/>
          <w:color w:val="000000"/>
          <w:kern w:val="0"/>
          <w:sz w:val="18"/>
          <w:szCs w:val="18"/>
          <w:lang w:val="zh-CN"/>
        </w:rPr>
        <w:t>武昌卡斯卡诺医疗美容门诊部</w:t>
      </w:r>
      <w:r w:rsidRPr="00B76C9A">
        <w:rPr>
          <w:rFonts w:ascii="方正楷体_GBK" w:eastAsia="方正楷体_GBK" w:cs="方正楷体_GBK"/>
          <w:color w:val="000000"/>
          <w:kern w:val="0"/>
          <w:sz w:val="18"/>
          <w:szCs w:val="18"/>
          <w:lang w:val="zh-CN"/>
        </w:rPr>
        <w:t xml:space="preserve">  </w:t>
      </w:r>
      <w:r w:rsidRPr="00B76C9A">
        <w:rPr>
          <w:rFonts w:ascii="方正楷体_GBK" w:eastAsia="方正楷体_GBK" w:cs="方正楷体_GBK" w:hint="eastAsia"/>
          <w:color w:val="000000"/>
          <w:kern w:val="0"/>
          <w:sz w:val="18"/>
          <w:szCs w:val="18"/>
          <w:lang w:val="zh-CN"/>
        </w:rPr>
        <w:t>湖北</w:t>
      </w:r>
      <w:r w:rsidRPr="00B76C9A">
        <w:rPr>
          <w:rFonts w:ascii="方正楷体_GBK" w:eastAsia="方正楷体_GBK" w:cs="方正楷体_GBK"/>
          <w:color w:val="000000"/>
          <w:kern w:val="0"/>
          <w:sz w:val="18"/>
          <w:szCs w:val="18"/>
          <w:lang w:val="zh-CN"/>
        </w:rPr>
        <w:t xml:space="preserve"> </w:t>
      </w:r>
      <w:r w:rsidRPr="00B76C9A">
        <w:rPr>
          <w:rFonts w:ascii="方正楷体_GBK" w:eastAsia="方正楷体_GBK" w:cs="方正楷体_GBK" w:hint="eastAsia"/>
          <w:color w:val="000000"/>
          <w:kern w:val="0"/>
          <w:sz w:val="18"/>
          <w:szCs w:val="18"/>
          <w:lang w:val="zh-CN"/>
        </w:rPr>
        <w:t>武汉</w:t>
      </w:r>
      <w:r w:rsidRPr="00B76C9A">
        <w:rPr>
          <w:rFonts w:ascii="方正楷体_GBK" w:eastAsia="方正楷体_GBK" w:cs="方正楷体_GBK"/>
          <w:color w:val="000000"/>
          <w:kern w:val="0"/>
          <w:sz w:val="18"/>
          <w:szCs w:val="18"/>
          <w:lang w:val="zh-CN"/>
        </w:rPr>
        <w:t xml:space="preserve">  430000</w:t>
      </w:r>
      <w:r w:rsidRPr="00B76C9A">
        <w:rPr>
          <w:rFonts w:ascii="方正楷体_GBK" w:eastAsia="方正楷体_GBK" w:cs="方正楷体_GBK" w:hint="eastAsia"/>
          <w:color w:val="000000"/>
          <w:kern w:val="0"/>
          <w:sz w:val="18"/>
          <w:szCs w:val="18"/>
          <w:lang w:val="zh-CN"/>
        </w:rPr>
        <w:t>；</w:t>
      </w:r>
      <w:r w:rsidRPr="00B76C9A">
        <w:rPr>
          <w:rFonts w:ascii="方正楷体_GBK" w:eastAsia="方正楷体_GBK" w:cs="方正楷体_GBK"/>
          <w:color w:val="000000"/>
          <w:kern w:val="0"/>
          <w:sz w:val="18"/>
          <w:szCs w:val="18"/>
          <w:lang w:val="zh-CN"/>
        </w:rPr>
        <w:t>2.</w:t>
      </w:r>
      <w:proofErr w:type="gramStart"/>
      <w:r w:rsidRPr="00B76C9A">
        <w:rPr>
          <w:rFonts w:ascii="方正楷体_GBK" w:eastAsia="方正楷体_GBK" w:cs="方正楷体_GBK" w:hint="eastAsia"/>
          <w:color w:val="000000"/>
          <w:kern w:val="0"/>
          <w:sz w:val="18"/>
          <w:szCs w:val="18"/>
          <w:lang w:val="zh-CN"/>
        </w:rPr>
        <w:t>京圣嘉荣医疗</w:t>
      </w:r>
      <w:proofErr w:type="gramEnd"/>
      <w:r w:rsidRPr="00B76C9A">
        <w:rPr>
          <w:rFonts w:ascii="方正楷体_GBK" w:eastAsia="方正楷体_GBK" w:cs="方正楷体_GBK" w:hint="eastAsia"/>
          <w:color w:val="000000"/>
          <w:kern w:val="0"/>
          <w:sz w:val="18"/>
          <w:szCs w:val="18"/>
          <w:lang w:val="zh-CN"/>
        </w:rPr>
        <w:t>美容医院美容外科</w:t>
      </w:r>
      <w:r w:rsidRPr="00B76C9A">
        <w:rPr>
          <w:rFonts w:ascii="方正楷体_GBK" w:eastAsia="方正楷体_GBK" w:cs="方正楷体_GBK"/>
          <w:color w:val="000000"/>
          <w:kern w:val="0"/>
          <w:sz w:val="18"/>
          <w:szCs w:val="18"/>
          <w:lang w:val="zh-CN"/>
        </w:rPr>
        <w:t xml:space="preserve">  </w:t>
      </w:r>
      <w:r w:rsidRPr="00B76C9A">
        <w:rPr>
          <w:rFonts w:ascii="方正楷体_GBK" w:eastAsia="方正楷体_GBK" w:cs="方正楷体_GBK" w:hint="eastAsia"/>
          <w:color w:val="000000"/>
          <w:kern w:val="0"/>
          <w:sz w:val="18"/>
          <w:szCs w:val="18"/>
          <w:lang w:val="zh-CN"/>
        </w:rPr>
        <w:t>北京</w:t>
      </w:r>
      <w:r w:rsidRPr="00B76C9A">
        <w:rPr>
          <w:rFonts w:ascii="方正楷体_GBK" w:eastAsia="方正楷体_GBK" w:cs="方正楷体_GBK"/>
          <w:color w:val="000000"/>
          <w:kern w:val="0"/>
          <w:sz w:val="18"/>
          <w:szCs w:val="18"/>
          <w:lang w:val="zh-CN"/>
        </w:rPr>
        <w:t xml:space="preserve">  100000</w:t>
      </w:r>
      <w:r w:rsidRPr="00B76C9A">
        <w:rPr>
          <w:rFonts w:ascii="方正楷体_GBK" w:eastAsia="方正楷体_GBK" w:cs="方正楷体_GBK" w:hint="eastAsia"/>
          <w:color w:val="000000"/>
          <w:kern w:val="0"/>
          <w:sz w:val="18"/>
          <w:szCs w:val="18"/>
          <w:lang w:val="zh-CN"/>
        </w:rPr>
        <w:t>）</w:t>
      </w:r>
    </w:p>
    <w:p w14:paraId="34C3EFDD" w14:textId="77777777" w:rsidR="00B76C9A" w:rsidRPr="00B76C9A" w:rsidRDefault="00B76C9A" w:rsidP="00B76C9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5BD5BE29" w14:textId="77777777" w:rsidR="00B76C9A" w:rsidRPr="00B76C9A" w:rsidRDefault="00B76C9A" w:rsidP="00B76C9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76C9A">
        <w:rPr>
          <w:rFonts w:ascii="黑体" w:eastAsia="黑体" w:cs="黑体"/>
          <w:color w:val="000000"/>
          <w:kern w:val="0"/>
          <w:sz w:val="18"/>
          <w:szCs w:val="18"/>
          <w:lang w:val="zh-CN"/>
        </w:rPr>
        <w:t>[</w:t>
      </w:r>
      <w:r w:rsidRPr="00B76C9A">
        <w:rPr>
          <w:rFonts w:ascii="黑体" w:eastAsia="黑体" w:cs="黑体" w:hint="eastAsia"/>
          <w:color w:val="000000"/>
          <w:kern w:val="0"/>
          <w:sz w:val="18"/>
          <w:szCs w:val="18"/>
          <w:lang w:val="zh-CN"/>
        </w:rPr>
        <w:t>摘要</w:t>
      </w:r>
      <w:r w:rsidRPr="00B76C9A">
        <w:rPr>
          <w:rFonts w:ascii="黑体" w:eastAsia="黑体" w:cs="黑体"/>
          <w:color w:val="000000"/>
          <w:kern w:val="0"/>
          <w:sz w:val="18"/>
          <w:szCs w:val="18"/>
          <w:lang w:val="zh-CN"/>
        </w:rPr>
        <w:t>]</w:t>
      </w:r>
      <w:r w:rsidRPr="00B76C9A">
        <w:rPr>
          <w:rFonts w:ascii="黑体" w:eastAsia="黑体" w:cs="黑体" w:hint="eastAsia"/>
          <w:color w:val="000000"/>
          <w:kern w:val="0"/>
          <w:sz w:val="18"/>
          <w:szCs w:val="18"/>
          <w:lang w:val="zh-CN"/>
        </w:rPr>
        <w:t>目的：</w:t>
      </w:r>
      <w:r w:rsidRPr="00B76C9A">
        <w:rPr>
          <w:rFonts w:ascii="楷体_GB2312" w:eastAsia="楷体_GB2312" w:cs="楷体_GB2312" w:hint="eastAsia"/>
          <w:color w:val="000000"/>
          <w:kern w:val="0"/>
          <w:sz w:val="18"/>
          <w:szCs w:val="18"/>
          <w:lang w:val="zh-CN"/>
        </w:rPr>
        <w:t>探讨瘢痕性下睑外翻就医者应用</w:t>
      </w:r>
      <w:proofErr w:type="gramStart"/>
      <w:r w:rsidRPr="00B76C9A">
        <w:rPr>
          <w:rFonts w:ascii="楷体_GB2312" w:eastAsia="楷体_GB2312" w:cs="楷体_GB2312" w:hint="eastAsia"/>
          <w:color w:val="000000"/>
          <w:kern w:val="0"/>
          <w:sz w:val="18"/>
          <w:szCs w:val="18"/>
          <w:lang w:val="zh-CN"/>
        </w:rPr>
        <w:t>上睑双蒂肌皮瓣</w:t>
      </w:r>
      <w:proofErr w:type="gramEnd"/>
      <w:r w:rsidRPr="00B76C9A">
        <w:rPr>
          <w:rFonts w:ascii="楷体_GB2312" w:eastAsia="楷体_GB2312" w:cs="楷体_GB2312" w:hint="eastAsia"/>
          <w:color w:val="000000"/>
          <w:kern w:val="0"/>
          <w:sz w:val="18"/>
          <w:szCs w:val="18"/>
          <w:lang w:val="zh-CN"/>
        </w:rPr>
        <w:t>进行修复的效果。</w:t>
      </w:r>
      <w:r w:rsidRPr="00B76C9A">
        <w:rPr>
          <w:rFonts w:ascii="黑体" w:eastAsia="黑体" w:cs="黑体" w:hint="eastAsia"/>
          <w:color w:val="000000"/>
          <w:kern w:val="0"/>
          <w:sz w:val="18"/>
          <w:szCs w:val="18"/>
          <w:lang w:val="zh-CN"/>
        </w:rPr>
        <w:t>方法：</w:t>
      </w:r>
      <w:r w:rsidRPr="00B76C9A">
        <w:rPr>
          <w:rFonts w:ascii="楷体_GB2312" w:eastAsia="楷体_GB2312" w:cs="楷体_GB2312" w:hint="eastAsia"/>
          <w:color w:val="000000"/>
          <w:kern w:val="0"/>
          <w:sz w:val="18"/>
          <w:szCs w:val="18"/>
          <w:lang w:val="zh-CN"/>
        </w:rPr>
        <w:t>选取</w:t>
      </w:r>
      <w:r w:rsidRPr="00B76C9A">
        <w:rPr>
          <w:rFonts w:ascii="楷体_GB2312" w:eastAsia="楷体_GB2312" w:cs="楷体_GB2312"/>
          <w:color w:val="000000"/>
          <w:kern w:val="0"/>
          <w:sz w:val="18"/>
          <w:szCs w:val="18"/>
          <w:lang w:val="zh-CN"/>
        </w:rPr>
        <w:t>2017</w:t>
      </w:r>
      <w:r w:rsidRPr="00B76C9A">
        <w:rPr>
          <w:rFonts w:ascii="楷体_GB2312" w:eastAsia="楷体_GB2312" w:cs="楷体_GB2312" w:hint="eastAsia"/>
          <w:color w:val="000000"/>
          <w:kern w:val="0"/>
          <w:sz w:val="18"/>
          <w:szCs w:val="18"/>
          <w:lang w:val="zh-CN"/>
        </w:rPr>
        <w:t>年</w:t>
      </w:r>
      <w:r w:rsidRPr="00B76C9A">
        <w:rPr>
          <w:rFonts w:ascii="楷体_GB2312" w:eastAsia="楷体_GB2312" w:cs="楷体_GB2312"/>
          <w:color w:val="000000"/>
          <w:kern w:val="0"/>
          <w:sz w:val="18"/>
          <w:szCs w:val="18"/>
          <w:lang w:val="zh-CN"/>
        </w:rPr>
        <w:t>6</w:t>
      </w:r>
      <w:r w:rsidRPr="00B76C9A">
        <w:rPr>
          <w:rFonts w:ascii="楷体_GB2312" w:eastAsia="楷体_GB2312" w:cs="楷体_GB2312" w:hint="eastAsia"/>
          <w:color w:val="000000"/>
          <w:kern w:val="0"/>
          <w:sz w:val="18"/>
          <w:szCs w:val="18"/>
          <w:lang w:val="zh-CN"/>
        </w:rPr>
        <w:t>月</w:t>
      </w:r>
      <w:r w:rsidRPr="00B76C9A">
        <w:rPr>
          <w:rFonts w:ascii="楷体_GB2312" w:eastAsia="楷体_GB2312" w:cs="楷体_GB2312"/>
          <w:color w:val="000000"/>
          <w:kern w:val="0"/>
          <w:sz w:val="18"/>
          <w:szCs w:val="18"/>
          <w:lang w:val="zh-CN"/>
        </w:rPr>
        <w:t>-2020</w:t>
      </w:r>
      <w:r w:rsidRPr="00B76C9A">
        <w:rPr>
          <w:rFonts w:ascii="楷体_GB2312" w:eastAsia="楷体_GB2312" w:cs="楷体_GB2312" w:hint="eastAsia"/>
          <w:color w:val="000000"/>
          <w:kern w:val="0"/>
          <w:sz w:val="18"/>
          <w:szCs w:val="18"/>
          <w:lang w:val="zh-CN"/>
        </w:rPr>
        <w:t>年</w:t>
      </w:r>
      <w:r w:rsidRPr="00B76C9A">
        <w:rPr>
          <w:rFonts w:ascii="楷体_GB2312" w:eastAsia="楷体_GB2312" w:cs="楷体_GB2312"/>
          <w:color w:val="000000"/>
          <w:kern w:val="0"/>
          <w:sz w:val="18"/>
          <w:szCs w:val="18"/>
          <w:lang w:val="zh-CN"/>
        </w:rPr>
        <w:t>6</w:t>
      </w:r>
      <w:r w:rsidRPr="00B76C9A">
        <w:rPr>
          <w:rFonts w:ascii="楷体_GB2312" w:eastAsia="楷体_GB2312" w:cs="楷体_GB2312" w:hint="eastAsia"/>
          <w:color w:val="000000"/>
          <w:kern w:val="0"/>
          <w:sz w:val="18"/>
          <w:szCs w:val="18"/>
          <w:lang w:val="zh-CN"/>
        </w:rPr>
        <w:t>月笔者医院收治的瘢痕性下睑外翻就医者</w:t>
      </w:r>
      <w:r w:rsidRPr="00B76C9A">
        <w:rPr>
          <w:rFonts w:ascii="楷体_GB2312" w:eastAsia="楷体_GB2312" w:cs="楷体_GB2312"/>
          <w:color w:val="000000"/>
          <w:kern w:val="0"/>
          <w:sz w:val="18"/>
          <w:szCs w:val="18"/>
          <w:lang w:val="zh-CN"/>
        </w:rPr>
        <w:t>56</w:t>
      </w:r>
      <w:r w:rsidRPr="00B76C9A">
        <w:rPr>
          <w:rFonts w:ascii="楷体_GB2312" w:eastAsia="楷体_GB2312" w:cs="楷体_GB2312" w:hint="eastAsia"/>
          <w:color w:val="000000"/>
          <w:kern w:val="0"/>
          <w:sz w:val="18"/>
          <w:szCs w:val="18"/>
          <w:lang w:val="zh-CN"/>
        </w:rPr>
        <w:t>例，按随机数字表法分为</w:t>
      </w:r>
      <w:proofErr w:type="gramStart"/>
      <w:r w:rsidRPr="00B76C9A">
        <w:rPr>
          <w:rFonts w:ascii="楷体_GB2312" w:eastAsia="楷体_GB2312" w:cs="楷体_GB2312" w:hint="eastAsia"/>
          <w:color w:val="000000"/>
          <w:kern w:val="0"/>
          <w:sz w:val="18"/>
          <w:szCs w:val="18"/>
          <w:lang w:val="zh-CN"/>
        </w:rPr>
        <w:t>单蒂组和双蒂组</w:t>
      </w:r>
      <w:proofErr w:type="gramEnd"/>
      <w:r w:rsidRPr="00B76C9A">
        <w:rPr>
          <w:rFonts w:ascii="楷体_GB2312" w:eastAsia="楷体_GB2312" w:cs="楷体_GB2312" w:hint="eastAsia"/>
          <w:color w:val="000000"/>
          <w:kern w:val="0"/>
          <w:sz w:val="18"/>
          <w:szCs w:val="18"/>
          <w:lang w:val="zh-CN"/>
        </w:rPr>
        <w:t>，各</w:t>
      </w:r>
      <w:r w:rsidRPr="00B76C9A">
        <w:rPr>
          <w:rFonts w:ascii="楷体_GB2312" w:eastAsia="楷体_GB2312" w:cs="楷体_GB2312"/>
          <w:color w:val="000000"/>
          <w:kern w:val="0"/>
          <w:sz w:val="18"/>
          <w:szCs w:val="18"/>
          <w:lang w:val="zh-CN"/>
        </w:rPr>
        <w:t>28</w:t>
      </w:r>
      <w:r w:rsidRPr="00B76C9A">
        <w:rPr>
          <w:rFonts w:ascii="楷体_GB2312" w:eastAsia="楷体_GB2312" w:cs="楷体_GB2312" w:hint="eastAsia"/>
          <w:color w:val="000000"/>
          <w:kern w:val="0"/>
          <w:sz w:val="18"/>
          <w:szCs w:val="18"/>
          <w:lang w:val="zh-CN"/>
        </w:rPr>
        <w:t>例。两组分别实施</w:t>
      </w:r>
      <w:proofErr w:type="gramStart"/>
      <w:r w:rsidRPr="00B76C9A">
        <w:rPr>
          <w:rFonts w:ascii="楷体_GB2312" w:eastAsia="楷体_GB2312" w:cs="楷体_GB2312" w:hint="eastAsia"/>
          <w:color w:val="000000"/>
          <w:kern w:val="0"/>
          <w:sz w:val="18"/>
          <w:szCs w:val="18"/>
          <w:lang w:val="zh-CN"/>
        </w:rPr>
        <w:t>上睑单蒂肌皮瓣</w:t>
      </w:r>
      <w:proofErr w:type="gramEnd"/>
      <w:r w:rsidRPr="00B76C9A">
        <w:rPr>
          <w:rFonts w:ascii="楷体_GB2312" w:eastAsia="楷体_GB2312" w:cs="楷体_GB2312" w:hint="eastAsia"/>
          <w:color w:val="000000"/>
          <w:kern w:val="0"/>
          <w:sz w:val="18"/>
          <w:szCs w:val="18"/>
          <w:lang w:val="zh-CN"/>
        </w:rPr>
        <w:t>移植术、</w:t>
      </w:r>
      <w:proofErr w:type="gramStart"/>
      <w:r w:rsidRPr="00B76C9A">
        <w:rPr>
          <w:rFonts w:ascii="楷体_GB2312" w:eastAsia="楷体_GB2312" w:cs="楷体_GB2312" w:hint="eastAsia"/>
          <w:color w:val="000000"/>
          <w:kern w:val="0"/>
          <w:sz w:val="18"/>
          <w:szCs w:val="18"/>
          <w:lang w:val="zh-CN"/>
        </w:rPr>
        <w:t>上睑双蒂肌皮瓣</w:t>
      </w:r>
      <w:proofErr w:type="gramEnd"/>
      <w:r w:rsidRPr="00B76C9A">
        <w:rPr>
          <w:rFonts w:ascii="楷体_GB2312" w:eastAsia="楷体_GB2312" w:cs="楷体_GB2312" w:hint="eastAsia"/>
          <w:color w:val="000000"/>
          <w:kern w:val="0"/>
          <w:sz w:val="18"/>
          <w:szCs w:val="18"/>
          <w:lang w:val="zh-CN"/>
        </w:rPr>
        <w:t>移植术。记录两组基本资料、临床疗效、肌皮瓣长度及宽度、并发症、满意度情况。</w:t>
      </w:r>
      <w:r w:rsidRPr="00B76C9A">
        <w:rPr>
          <w:rFonts w:ascii="黑体" w:eastAsia="黑体" w:cs="黑体" w:hint="eastAsia"/>
          <w:color w:val="000000"/>
          <w:kern w:val="0"/>
          <w:sz w:val="18"/>
          <w:szCs w:val="18"/>
          <w:lang w:val="zh-CN"/>
        </w:rPr>
        <w:t>结果：</w:t>
      </w:r>
      <w:proofErr w:type="gramStart"/>
      <w:r w:rsidRPr="00B76C9A">
        <w:rPr>
          <w:rFonts w:ascii="楷体_GB2312" w:eastAsia="楷体_GB2312" w:cs="楷体_GB2312" w:hint="eastAsia"/>
          <w:color w:val="000000"/>
          <w:kern w:val="0"/>
          <w:sz w:val="18"/>
          <w:szCs w:val="18"/>
          <w:lang w:val="zh-CN"/>
        </w:rPr>
        <w:t>单蒂组</w:t>
      </w:r>
      <w:proofErr w:type="gramEnd"/>
      <w:r w:rsidRPr="00B76C9A">
        <w:rPr>
          <w:rFonts w:ascii="楷体_GB2312" w:eastAsia="楷体_GB2312" w:cs="楷体_GB2312" w:hint="eastAsia"/>
          <w:color w:val="000000"/>
          <w:kern w:val="0"/>
          <w:sz w:val="18"/>
          <w:szCs w:val="18"/>
          <w:lang w:val="zh-CN"/>
        </w:rPr>
        <w:t>总有效率为</w:t>
      </w:r>
      <w:r w:rsidRPr="00B76C9A">
        <w:rPr>
          <w:rFonts w:ascii="楷体_GB2312" w:eastAsia="楷体_GB2312" w:cs="楷体_GB2312"/>
          <w:color w:val="000000"/>
          <w:kern w:val="0"/>
          <w:sz w:val="18"/>
          <w:szCs w:val="18"/>
          <w:lang w:val="zh-CN"/>
        </w:rPr>
        <w:t>97.30%</w:t>
      </w:r>
      <w:r w:rsidRPr="00B76C9A">
        <w:rPr>
          <w:rFonts w:ascii="楷体_GB2312" w:eastAsia="楷体_GB2312" w:cs="楷体_GB2312" w:hint="eastAsia"/>
          <w:color w:val="000000"/>
          <w:kern w:val="0"/>
          <w:sz w:val="18"/>
          <w:szCs w:val="18"/>
          <w:lang w:val="zh-CN"/>
        </w:rPr>
        <w:t>，</w:t>
      </w:r>
      <w:proofErr w:type="gramStart"/>
      <w:r w:rsidRPr="00B76C9A">
        <w:rPr>
          <w:rFonts w:ascii="楷体_GB2312" w:eastAsia="楷体_GB2312" w:cs="楷体_GB2312" w:hint="eastAsia"/>
          <w:color w:val="000000"/>
          <w:kern w:val="0"/>
          <w:sz w:val="18"/>
          <w:szCs w:val="18"/>
          <w:lang w:val="zh-CN"/>
        </w:rPr>
        <w:t>双蒂组</w:t>
      </w:r>
      <w:proofErr w:type="gramEnd"/>
      <w:r w:rsidRPr="00B76C9A">
        <w:rPr>
          <w:rFonts w:ascii="楷体_GB2312" w:eastAsia="楷体_GB2312" w:cs="楷体_GB2312" w:hint="eastAsia"/>
          <w:color w:val="000000"/>
          <w:kern w:val="0"/>
          <w:sz w:val="18"/>
          <w:szCs w:val="18"/>
          <w:lang w:val="zh-CN"/>
        </w:rPr>
        <w:t>总有效率为</w:t>
      </w:r>
      <w:r w:rsidRPr="00B76C9A">
        <w:rPr>
          <w:rFonts w:ascii="楷体_GB2312" w:eastAsia="楷体_GB2312" w:cs="楷体_GB2312"/>
          <w:color w:val="000000"/>
          <w:kern w:val="0"/>
          <w:sz w:val="18"/>
          <w:szCs w:val="18"/>
          <w:lang w:val="zh-CN"/>
        </w:rPr>
        <w:t>97.06%</w:t>
      </w:r>
      <w:r w:rsidRPr="00B76C9A">
        <w:rPr>
          <w:rFonts w:ascii="楷体_GB2312" w:eastAsia="楷体_GB2312" w:cs="楷体_GB2312" w:hint="eastAsia"/>
          <w:color w:val="000000"/>
          <w:kern w:val="0"/>
          <w:sz w:val="18"/>
          <w:szCs w:val="18"/>
          <w:lang w:val="zh-CN"/>
        </w:rPr>
        <w:t>，两组总有效率比较，差异无统计学意义（</w:t>
      </w:r>
      <w:r w:rsidRPr="00B76C9A">
        <w:rPr>
          <w:rFonts w:ascii="楷体_GB2312" w:eastAsia="楷体_GB2312" w:cs="楷体_GB2312"/>
          <w:color w:val="000000"/>
          <w:kern w:val="0"/>
          <w:sz w:val="18"/>
          <w:szCs w:val="18"/>
          <w:lang w:val="zh-CN"/>
        </w:rPr>
        <w:t>P</w:t>
      </w:r>
      <w:r w:rsidRPr="00B76C9A">
        <w:rPr>
          <w:rFonts w:ascii="楷体_GB2312" w:eastAsia="楷体_GB2312" w:cs="楷体_GB2312" w:hint="eastAsia"/>
          <w:color w:val="000000"/>
          <w:kern w:val="0"/>
          <w:sz w:val="18"/>
          <w:szCs w:val="18"/>
          <w:lang w:val="zh-CN"/>
        </w:rPr>
        <w:t>＞</w:t>
      </w:r>
      <w:r w:rsidRPr="00B76C9A">
        <w:rPr>
          <w:rFonts w:ascii="楷体_GB2312" w:eastAsia="楷体_GB2312" w:cs="楷体_GB2312"/>
          <w:color w:val="000000"/>
          <w:kern w:val="0"/>
          <w:sz w:val="18"/>
          <w:szCs w:val="18"/>
          <w:lang w:val="zh-CN"/>
        </w:rPr>
        <w:t>0.05</w:t>
      </w:r>
      <w:r w:rsidRPr="00B76C9A">
        <w:rPr>
          <w:rFonts w:ascii="楷体_GB2312" w:eastAsia="楷体_GB2312" w:cs="楷体_GB2312" w:hint="eastAsia"/>
          <w:color w:val="000000"/>
          <w:kern w:val="0"/>
          <w:sz w:val="18"/>
          <w:szCs w:val="18"/>
          <w:lang w:val="zh-CN"/>
        </w:rPr>
        <w:t>）。</w:t>
      </w:r>
      <w:proofErr w:type="gramStart"/>
      <w:r w:rsidRPr="00B76C9A">
        <w:rPr>
          <w:rFonts w:ascii="楷体_GB2312" w:eastAsia="楷体_GB2312" w:cs="楷体_GB2312" w:hint="eastAsia"/>
          <w:color w:val="000000"/>
          <w:kern w:val="0"/>
          <w:sz w:val="18"/>
          <w:szCs w:val="18"/>
          <w:lang w:val="zh-CN"/>
        </w:rPr>
        <w:t>双蒂组</w:t>
      </w:r>
      <w:proofErr w:type="gramEnd"/>
      <w:r w:rsidRPr="00B76C9A">
        <w:rPr>
          <w:rFonts w:ascii="楷体_GB2312" w:eastAsia="楷体_GB2312" w:cs="楷体_GB2312" w:hint="eastAsia"/>
          <w:color w:val="000000"/>
          <w:kern w:val="0"/>
          <w:sz w:val="18"/>
          <w:szCs w:val="18"/>
          <w:lang w:val="zh-CN"/>
        </w:rPr>
        <w:t>肌皮瓣长度、宽度均大于</w:t>
      </w:r>
      <w:proofErr w:type="gramStart"/>
      <w:r w:rsidRPr="00B76C9A">
        <w:rPr>
          <w:rFonts w:ascii="楷体_GB2312" w:eastAsia="楷体_GB2312" w:cs="楷体_GB2312" w:hint="eastAsia"/>
          <w:color w:val="000000"/>
          <w:kern w:val="0"/>
          <w:sz w:val="18"/>
          <w:szCs w:val="18"/>
          <w:lang w:val="zh-CN"/>
        </w:rPr>
        <w:t>单蒂组</w:t>
      </w:r>
      <w:proofErr w:type="gramEnd"/>
      <w:r w:rsidRPr="00B76C9A">
        <w:rPr>
          <w:rFonts w:ascii="楷体_GB2312" w:eastAsia="楷体_GB2312" w:cs="楷体_GB2312" w:hint="eastAsia"/>
          <w:color w:val="000000"/>
          <w:kern w:val="0"/>
          <w:sz w:val="18"/>
          <w:szCs w:val="18"/>
          <w:lang w:val="zh-CN"/>
        </w:rPr>
        <w:t>，差异有统计学意义（</w:t>
      </w:r>
      <w:r w:rsidRPr="00B76C9A">
        <w:rPr>
          <w:rFonts w:ascii="楷体_GB2312" w:eastAsia="楷体_GB2312" w:cs="楷体_GB2312"/>
          <w:color w:val="000000"/>
          <w:kern w:val="0"/>
          <w:sz w:val="18"/>
          <w:szCs w:val="18"/>
          <w:lang w:val="zh-CN"/>
        </w:rPr>
        <w:t>P</w:t>
      </w:r>
      <w:r w:rsidRPr="00B76C9A">
        <w:rPr>
          <w:rFonts w:ascii="楷体_GB2312" w:eastAsia="楷体_GB2312" w:cs="楷体_GB2312" w:hint="eastAsia"/>
          <w:color w:val="000000"/>
          <w:kern w:val="0"/>
          <w:sz w:val="18"/>
          <w:szCs w:val="18"/>
          <w:lang w:val="zh-CN"/>
        </w:rPr>
        <w:t>＜</w:t>
      </w:r>
      <w:r w:rsidRPr="00B76C9A">
        <w:rPr>
          <w:rFonts w:ascii="楷体_GB2312" w:eastAsia="楷体_GB2312" w:cs="楷体_GB2312"/>
          <w:color w:val="000000"/>
          <w:kern w:val="0"/>
          <w:sz w:val="18"/>
          <w:szCs w:val="18"/>
          <w:lang w:val="zh-CN"/>
        </w:rPr>
        <w:t>0.05</w:t>
      </w:r>
      <w:r w:rsidRPr="00B76C9A">
        <w:rPr>
          <w:rFonts w:ascii="楷体_GB2312" w:eastAsia="楷体_GB2312" w:cs="楷体_GB2312" w:hint="eastAsia"/>
          <w:color w:val="000000"/>
          <w:kern w:val="0"/>
          <w:sz w:val="18"/>
          <w:szCs w:val="18"/>
          <w:lang w:val="zh-CN"/>
        </w:rPr>
        <w:t>）。</w:t>
      </w:r>
      <w:proofErr w:type="gramStart"/>
      <w:r w:rsidRPr="00B76C9A">
        <w:rPr>
          <w:rFonts w:ascii="楷体_GB2312" w:eastAsia="楷体_GB2312" w:cs="楷体_GB2312" w:hint="eastAsia"/>
          <w:color w:val="000000"/>
          <w:kern w:val="0"/>
          <w:sz w:val="18"/>
          <w:szCs w:val="18"/>
          <w:lang w:val="zh-CN"/>
        </w:rPr>
        <w:t>单蒂组</w:t>
      </w:r>
      <w:proofErr w:type="gramEnd"/>
      <w:r w:rsidRPr="00B76C9A">
        <w:rPr>
          <w:rFonts w:ascii="楷体_GB2312" w:eastAsia="楷体_GB2312" w:cs="楷体_GB2312" w:hint="eastAsia"/>
          <w:color w:val="000000"/>
          <w:kern w:val="0"/>
          <w:sz w:val="18"/>
          <w:szCs w:val="18"/>
          <w:lang w:val="zh-CN"/>
        </w:rPr>
        <w:t>并发症总发生率为</w:t>
      </w:r>
      <w:r w:rsidRPr="00B76C9A">
        <w:rPr>
          <w:rFonts w:ascii="楷体_GB2312" w:eastAsia="楷体_GB2312" w:cs="楷体_GB2312"/>
          <w:color w:val="000000"/>
          <w:kern w:val="0"/>
          <w:sz w:val="18"/>
          <w:szCs w:val="18"/>
          <w:lang w:val="zh-CN"/>
        </w:rPr>
        <w:t>8.11%</w:t>
      </w:r>
      <w:r w:rsidRPr="00B76C9A">
        <w:rPr>
          <w:rFonts w:ascii="楷体_GB2312" w:eastAsia="楷体_GB2312" w:cs="楷体_GB2312" w:hint="eastAsia"/>
          <w:color w:val="000000"/>
          <w:kern w:val="0"/>
          <w:sz w:val="18"/>
          <w:szCs w:val="18"/>
          <w:lang w:val="zh-CN"/>
        </w:rPr>
        <w:t>，</w:t>
      </w:r>
      <w:proofErr w:type="gramStart"/>
      <w:r w:rsidRPr="00B76C9A">
        <w:rPr>
          <w:rFonts w:ascii="楷体_GB2312" w:eastAsia="楷体_GB2312" w:cs="楷体_GB2312" w:hint="eastAsia"/>
          <w:color w:val="000000"/>
          <w:kern w:val="0"/>
          <w:sz w:val="18"/>
          <w:szCs w:val="18"/>
          <w:lang w:val="zh-CN"/>
        </w:rPr>
        <w:t>双蒂组</w:t>
      </w:r>
      <w:proofErr w:type="gramEnd"/>
      <w:r w:rsidRPr="00B76C9A">
        <w:rPr>
          <w:rFonts w:ascii="楷体_GB2312" w:eastAsia="楷体_GB2312" w:cs="楷体_GB2312" w:hint="eastAsia"/>
          <w:color w:val="000000"/>
          <w:kern w:val="0"/>
          <w:sz w:val="18"/>
          <w:szCs w:val="18"/>
          <w:lang w:val="zh-CN"/>
        </w:rPr>
        <w:t>并发症总发生率为</w:t>
      </w:r>
      <w:r w:rsidRPr="00B76C9A">
        <w:rPr>
          <w:rFonts w:ascii="楷体_GB2312" w:eastAsia="楷体_GB2312" w:cs="楷体_GB2312"/>
          <w:color w:val="000000"/>
          <w:kern w:val="0"/>
          <w:sz w:val="18"/>
          <w:szCs w:val="18"/>
          <w:lang w:val="zh-CN"/>
        </w:rPr>
        <w:t>5.88%</w:t>
      </w:r>
      <w:r w:rsidRPr="00B76C9A">
        <w:rPr>
          <w:rFonts w:ascii="楷体_GB2312" w:eastAsia="楷体_GB2312" w:cs="楷体_GB2312" w:hint="eastAsia"/>
          <w:color w:val="000000"/>
          <w:kern w:val="0"/>
          <w:sz w:val="18"/>
          <w:szCs w:val="18"/>
          <w:lang w:val="zh-CN"/>
        </w:rPr>
        <w:t>，两组并发症总发生率比较，差异无统计学意义（</w:t>
      </w:r>
      <w:r w:rsidRPr="00B76C9A">
        <w:rPr>
          <w:rFonts w:ascii="楷体_GB2312" w:eastAsia="楷体_GB2312" w:cs="楷体_GB2312"/>
          <w:color w:val="000000"/>
          <w:kern w:val="0"/>
          <w:sz w:val="18"/>
          <w:szCs w:val="18"/>
          <w:lang w:val="zh-CN"/>
        </w:rPr>
        <w:t>P</w:t>
      </w:r>
      <w:r w:rsidRPr="00B76C9A">
        <w:rPr>
          <w:rFonts w:ascii="楷体_GB2312" w:eastAsia="楷体_GB2312" w:cs="楷体_GB2312" w:hint="eastAsia"/>
          <w:color w:val="000000"/>
          <w:kern w:val="0"/>
          <w:sz w:val="18"/>
          <w:szCs w:val="18"/>
          <w:lang w:val="zh-CN"/>
        </w:rPr>
        <w:t>＞</w:t>
      </w:r>
      <w:r w:rsidRPr="00B76C9A">
        <w:rPr>
          <w:rFonts w:ascii="楷体_GB2312" w:eastAsia="楷体_GB2312" w:cs="楷体_GB2312"/>
          <w:color w:val="000000"/>
          <w:kern w:val="0"/>
          <w:sz w:val="18"/>
          <w:szCs w:val="18"/>
          <w:lang w:val="zh-CN"/>
        </w:rPr>
        <w:t>0.05</w:t>
      </w:r>
      <w:r w:rsidRPr="00B76C9A">
        <w:rPr>
          <w:rFonts w:ascii="楷体_GB2312" w:eastAsia="楷体_GB2312" w:cs="楷体_GB2312" w:hint="eastAsia"/>
          <w:color w:val="000000"/>
          <w:kern w:val="0"/>
          <w:sz w:val="18"/>
          <w:szCs w:val="18"/>
          <w:lang w:val="zh-CN"/>
        </w:rPr>
        <w:t>）。</w:t>
      </w:r>
      <w:proofErr w:type="gramStart"/>
      <w:r w:rsidRPr="00B76C9A">
        <w:rPr>
          <w:rFonts w:ascii="楷体_GB2312" w:eastAsia="楷体_GB2312" w:cs="楷体_GB2312" w:hint="eastAsia"/>
          <w:color w:val="000000"/>
          <w:kern w:val="0"/>
          <w:sz w:val="18"/>
          <w:szCs w:val="18"/>
          <w:lang w:val="zh-CN"/>
        </w:rPr>
        <w:t>单蒂组总满意</w:t>
      </w:r>
      <w:proofErr w:type="gramEnd"/>
      <w:r w:rsidRPr="00B76C9A">
        <w:rPr>
          <w:rFonts w:ascii="楷体_GB2312" w:eastAsia="楷体_GB2312" w:cs="楷体_GB2312" w:hint="eastAsia"/>
          <w:color w:val="000000"/>
          <w:kern w:val="0"/>
          <w:sz w:val="18"/>
          <w:szCs w:val="18"/>
          <w:lang w:val="zh-CN"/>
        </w:rPr>
        <w:t>度为</w:t>
      </w:r>
      <w:r w:rsidRPr="00B76C9A">
        <w:rPr>
          <w:rFonts w:ascii="楷体_GB2312" w:eastAsia="楷体_GB2312" w:cs="楷体_GB2312"/>
          <w:color w:val="000000"/>
          <w:kern w:val="0"/>
          <w:sz w:val="18"/>
          <w:szCs w:val="18"/>
          <w:lang w:val="zh-CN"/>
        </w:rPr>
        <w:t>89.29%</w:t>
      </w:r>
      <w:r w:rsidRPr="00B76C9A">
        <w:rPr>
          <w:rFonts w:ascii="楷体_GB2312" w:eastAsia="楷体_GB2312" w:cs="楷体_GB2312" w:hint="eastAsia"/>
          <w:color w:val="000000"/>
          <w:kern w:val="0"/>
          <w:sz w:val="18"/>
          <w:szCs w:val="18"/>
          <w:lang w:val="zh-CN"/>
        </w:rPr>
        <w:t>，</w:t>
      </w:r>
      <w:proofErr w:type="gramStart"/>
      <w:r w:rsidRPr="00B76C9A">
        <w:rPr>
          <w:rFonts w:ascii="楷体_GB2312" w:eastAsia="楷体_GB2312" w:cs="楷体_GB2312" w:hint="eastAsia"/>
          <w:color w:val="000000"/>
          <w:kern w:val="0"/>
          <w:sz w:val="18"/>
          <w:szCs w:val="18"/>
          <w:lang w:val="zh-CN"/>
        </w:rPr>
        <w:t>双蒂组总满意</w:t>
      </w:r>
      <w:proofErr w:type="gramEnd"/>
      <w:r w:rsidRPr="00B76C9A">
        <w:rPr>
          <w:rFonts w:ascii="楷体_GB2312" w:eastAsia="楷体_GB2312" w:cs="楷体_GB2312" w:hint="eastAsia"/>
          <w:color w:val="000000"/>
          <w:kern w:val="0"/>
          <w:sz w:val="18"/>
          <w:szCs w:val="18"/>
          <w:lang w:val="zh-CN"/>
        </w:rPr>
        <w:t>度为</w:t>
      </w:r>
      <w:r w:rsidRPr="00B76C9A">
        <w:rPr>
          <w:rFonts w:ascii="楷体_GB2312" w:eastAsia="楷体_GB2312" w:cs="楷体_GB2312"/>
          <w:color w:val="000000"/>
          <w:kern w:val="0"/>
          <w:sz w:val="18"/>
          <w:szCs w:val="18"/>
          <w:lang w:val="zh-CN"/>
        </w:rPr>
        <w:t>92.86%</w:t>
      </w:r>
      <w:r w:rsidRPr="00B76C9A">
        <w:rPr>
          <w:rFonts w:ascii="楷体_GB2312" w:eastAsia="楷体_GB2312" w:cs="楷体_GB2312" w:hint="eastAsia"/>
          <w:color w:val="000000"/>
          <w:kern w:val="0"/>
          <w:sz w:val="18"/>
          <w:szCs w:val="18"/>
          <w:lang w:val="zh-CN"/>
        </w:rPr>
        <w:t>，两组</w:t>
      </w:r>
      <w:proofErr w:type="gramStart"/>
      <w:r w:rsidRPr="00B76C9A">
        <w:rPr>
          <w:rFonts w:ascii="楷体_GB2312" w:eastAsia="楷体_GB2312" w:cs="楷体_GB2312" w:hint="eastAsia"/>
          <w:color w:val="000000"/>
          <w:kern w:val="0"/>
          <w:sz w:val="18"/>
          <w:szCs w:val="18"/>
          <w:lang w:val="zh-CN"/>
        </w:rPr>
        <w:t>总满意</w:t>
      </w:r>
      <w:proofErr w:type="gramEnd"/>
      <w:r w:rsidRPr="00B76C9A">
        <w:rPr>
          <w:rFonts w:ascii="楷体_GB2312" w:eastAsia="楷体_GB2312" w:cs="楷体_GB2312" w:hint="eastAsia"/>
          <w:color w:val="000000"/>
          <w:kern w:val="0"/>
          <w:sz w:val="18"/>
          <w:szCs w:val="18"/>
          <w:lang w:val="zh-CN"/>
        </w:rPr>
        <w:t>度比较，差异无统计学意义（</w:t>
      </w:r>
      <w:r w:rsidRPr="00B76C9A">
        <w:rPr>
          <w:rFonts w:ascii="楷体_GB2312" w:eastAsia="楷体_GB2312" w:cs="楷体_GB2312"/>
          <w:color w:val="000000"/>
          <w:kern w:val="0"/>
          <w:sz w:val="18"/>
          <w:szCs w:val="18"/>
          <w:lang w:val="zh-CN"/>
        </w:rPr>
        <w:t>P</w:t>
      </w:r>
      <w:r w:rsidRPr="00B76C9A">
        <w:rPr>
          <w:rFonts w:ascii="楷体_GB2312" w:eastAsia="楷体_GB2312" w:cs="楷体_GB2312" w:hint="eastAsia"/>
          <w:color w:val="000000"/>
          <w:kern w:val="0"/>
          <w:sz w:val="18"/>
          <w:szCs w:val="18"/>
          <w:lang w:val="zh-CN"/>
        </w:rPr>
        <w:t>＞</w:t>
      </w:r>
      <w:r w:rsidRPr="00B76C9A">
        <w:rPr>
          <w:rFonts w:ascii="楷体_GB2312" w:eastAsia="楷体_GB2312" w:cs="楷体_GB2312"/>
          <w:color w:val="000000"/>
          <w:kern w:val="0"/>
          <w:sz w:val="18"/>
          <w:szCs w:val="18"/>
          <w:lang w:val="zh-CN"/>
        </w:rPr>
        <w:t>0.05</w:t>
      </w:r>
      <w:r w:rsidRPr="00B76C9A">
        <w:rPr>
          <w:rFonts w:ascii="楷体_GB2312" w:eastAsia="楷体_GB2312" w:cs="楷体_GB2312" w:hint="eastAsia"/>
          <w:color w:val="000000"/>
          <w:kern w:val="0"/>
          <w:sz w:val="18"/>
          <w:szCs w:val="18"/>
          <w:lang w:val="zh-CN"/>
        </w:rPr>
        <w:t>）。</w:t>
      </w:r>
      <w:r w:rsidRPr="00B76C9A">
        <w:rPr>
          <w:rFonts w:ascii="黑体" w:eastAsia="黑体" w:cs="黑体" w:hint="eastAsia"/>
          <w:color w:val="000000"/>
          <w:kern w:val="0"/>
          <w:sz w:val="18"/>
          <w:szCs w:val="18"/>
          <w:lang w:val="zh-CN"/>
        </w:rPr>
        <w:t>结论：</w:t>
      </w:r>
      <w:proofErr w:type="gramStart"/>
      <w:r w:rsidRPr="00B76C9A">
        <w:rPr>
          <w:rFonts w:ascii="楷体_GB2312" w:eastAsia="楷体_GB2312" w:cs="楷体_GB2312" w:hint="eastAsia"/>
          <w:color w:val="000000"/>
          <w:kern w:val="0"/>
          <w:sz w:val="18"/>
          <w:szCs w:val="18"/>
          <w:lang w:val="zh-CN"/>
        </w:rPr>
        <w:t>上睑双蒂肌皮瓣</w:t>
      </w:r>
      <w:proofErr w:type="gramEnd"/>
      <w:r w:rsidRPr="00B76C9A">
        <w:rPr>
          <w:rFonts w:ascii="楷体_GB2312" w:eastAsia="楷体_GB2312" w:cs="楷体_GB2312" w:hint="eastAsia"/>
          <w:color w:val="000000"/>
          <w:kern w:val="0"/>
          <w:sz w:val="18"/>
          <w:szCs w:val="18"/>
          <w:lang w:val="zh-CN"/>
        </w:rPr>
        <w:t>在瘢痕性下睑外翻修复中具有较好的疗效，可改善眼睑外观和功能，恢复下泪小点位置，且并发症少，就医者满意度高。</w:t>
      </w:r>
    </w:p>
    <w:p w14:paraId="31ED12AC" w14:textId="77777777" w:rsidR="00B76C9A" w:rsidRPr="00B76C9A" w:rsidRDefault="00B76C9A" w:rsidP="00B76C9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76C9A">
        <w:rPr>
          <w:rFonts w:ascii="黑体" w:eastAsia="黑体" w:cs="黑体"/>
          <w:color w:val="000000"/>
          <w:kern w:val="0"/>
          <w:sz w:val="18"/>
          <w:szCs w:val="18"/>
          <w:lang w:val="zh-CN"/>
        </w:rPr>
        <w:t>[</w:t>
      </w:r>
      <w:r w:rsidRPr="00B76C9A">
        <w:rPr>
          <w:rFonts w:ascii="黑体" w:eastAsia="黑体" w:cs="黑体" w:hint="eastAsia"/>
          <w:color w:val="000000"/>
          <w:kern w:val="0"/>
          <w:sz w:val="18"/>
          <w:szCs w:val="18"/>
          <w:lang w:val="zh-CN"/>
        </w:rPr>
        <w:t>关键词</w:t>
      </w:r>
      <w:r w:rsidRPr="00B76C9A">
        <w:rPr>
          <w:rFonts w:ascii="黑体" w:eastAsia="黑体" w:cs="黑体"/>
          <w:color w:val="000000"/>
          <w:kern w:val="0"/>
          <w:sz w:val="18"/>
          <w:szCs w:val="18"/>
          <w:lang w:val="zh-CN"/>
        </w:rPr>
        <w:t>]</w:t>
      </w:r>
      <w:r w:rsidRPr="00B76C9A">
        <w:rPr>
          <w:rFonts w:ascii="楷体_GB2312" w:eastAsia="楷体_GB2312" w:cs="楷体_GB2312" w:hint="eastAsia"/>
          <w:color w:val="000000"/>
          <w:kern w:val="0"/>
          <w:sz w:val="18"/>
          <w:szCs w:val="18"/>
          <w:lang w:val="zh-CN"/>
        </w:rPr>
        <w:t>下睑外翻；</w:t>
      </w:r>
      <w:proofErr w:type="gramStart"/>
      <w:r w:rsidRPr="00B76C9A">
        <w:rPr>
          <w:rFonts w:ascii="楷体_GB2312" w:eastAsia="楷体_GB2312" w:cs="楷体_GB2312" w:hint="eastAsia"/>
          <w:color w:val="000000"/>
          <w:kern w:val="0"/>
          <w:sz w:val="18"/>
          <w:szCs w:val="18"/>
          <w:lang w:val="zh-CN"/>
        </w:rPr>
        <w:t>双蒂肌皮瓣</w:t>
      </w:r>
      <w:proofErr w:type="gramEnd"/>
      <w:r w:rsidRPr="00B76C9A">
        <w:rPr>
          <w:rFonts w:ascii="楷体_GB2312" w:eastAsia="楷体_GB2312" w:cs="楷体_GB2312" w:hint="eastAsia"/>
          <w:color w:val="000000"/>
          <w:kern w:val="0"/>
          <w:sz w:val="18"/>
          <w:szCs w:val="18"/>
          <w:lang w:val="zh-CN"/>
        </w:rPr>
        <w:t>；</w:t>
      </w:r>
      <w:proofErr w:type="gramStart"/>
      <w:r w:rsidRPr="00B76C9A">
        <w:rPr>
          <w:rFonts w:ascii="楷体_GB2312" w:eastAsia="楷体_GB2312" w:cs="楷体_GB2312" w:hint="eastAsia"/>
          <w:color w:val="000000"/>
          <w:kern w:val="0"/>
          <w:sz w:val="18"/>
          <w:szCs w:val="18"/>
          <w:lang w:val="zh-CN"/>
        </w:rPr>
        <w:t>单蒂肌皮瓣</w:t>
      </w:r>
      <w:proofErr w:type="gramEnd"/>
      <w:r w:rsidRPr="00B76C9A">
        <w:rPr>
          <w:rFonts w:ascii="楷体_GB2312" w:eastAsia="楷体_GB2312" w:cs="楷体_GB2312" w:hint="eastAsia"/>
          <w:color w:val="000000"/>
          <w:kern w:val="0"/>
          <w:sz w:val="18"/>
          <w:szCs w:val="18"/>
          <w:lang w:val="zh-CN"/>
        </w:rPr>
        <w:t>；并发症；满意度</w:t>
      </w:r>
    </w:p>
    <w:p w14:paraId="6EF219E9" w14:textId="77777777" w:rsidR="00B76C9A" w:rsidRPr="00B76C9A" w:rsidRDefault="00B76C9A" w:rsidP="00B76C9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76C9A">
        <w:rPr>
          <w:rFonts w:ascii="黑体" w:eastAsia="黑体" w:cs="黑体"/>
          <w:color w:val="000000"/>
          <w:kern w:val="0"/>
          <w:sz w:val="18"/>
          <w:szCs w:val="18"/>
          <w:lang w:val="zh-CN"/>
        </w:rPr>
        <w:t>[</w:t>
      </w:r>
      <w:r w:rsidRPr="00B76C9A">
        <w:rPr>
          <w:rFonts w:ascii="黑体" w:eastAsia="黑体" w:cs="黑体" w:hint="eastAsia"/>
          <w:color w:val="000000"/>
          <w:kern w:val="0"/>
          <w:sz w:val="18"/>
          <w:szCs w:val="18"/>
          <w:lang w:val="zh-CN"/>
        </w:rPr>
        <w:t>中图分类号</w:t>
      </w:r>
      <w:r w:rsidRPr="00B76C9A">
        <w:rPr>
          <w:rFonts w:ascii="黑体" w:eastAsia="黑体" w:cs="黑体"/>
          <w:color w:val="000000"/>
          <w:kern w:val="0"/>
          <w:sz w:val="18"/>
          <w:szCs w:val="18"/>
          <w:lang w:val="zh-CN"/>
        </w:rPr>
        <w:t>]</w:t>
      </w:r>
      <w:r w:rsidRPr="00B76C9A">
        <w:rPr>
          <w:rFonts w:ascii="楷体_GB2312" w:eastAsia="楷体_GB2312" w:cs="楷体_GB2312"/>
          <w:color w:val="000000"/>
          <w:kern w:val="0"/>
          <w:sz w:val="18"/>
          <w:szCs w:val="18"/>
          <w:lang w:val="zh-CN"/>
        </w:rPr>
        <w:t xml:space="preserve">R622   </w:t>
      </w:r>
      <w:r w:rsidRPr="00B76C9A">
        <w:rPr>
          <w:rFonts w:ascii="黑体" w:eastAsia="黑体" w:cs="黑体"/>
          <w:color w:val="000000"/>
          <w:kern w:val="0"/>
          <w:sz w:val="18"/>
          <w:szCs w:val="18"/>
          <w:lang w:val="zh-CN"/>
        </w:rPr>
        <w:t xml:space="preserve"> [</w:t>
      </w:r>
      <w:r w:rsidRPr="00B76C9A">
        <w:rPr>
          <w:rFonts w:ascii="黑体" w:eastAsia="黑体" w:cs="黑体" w:hint="eastAsia"/>
          <w:color w:val="000000"/>
          <w:kern w:val="0"/>
          <w:sz w:val="18"/>
          <w:szCs w:val="18"/>
          <w:lang w:val="zh-CN"/>
        </w:rPr>
        <w:t>文献标志码</w:t>
      </w:r>
      <w:r w:rsidRPr="00B76C9A">
        <w:rPr>
          <w:rFonts w:ascii="黑体" w:eastAsia="黑体" w:cs="黑体"/>
          <w:color w:val="000000"/>
          <w:kern w:val="0"/>
          <w:sz w:val="18"/>
          <w:szCs w:val="18"/>
          <w:lang w:val="zh-CN"/>
        </w:rPr>
        <w:t>]</w:t>
      </w:r>
      <w:r w:rsidRPr="00B76C9A">
        <w:rPr>
          <w:rFonts w:ascii="楷体_GB2312" w:eastAsia="楷体_GB2312" w:cs="楷体_GB2312"/>
          <w:color w:val="000000"/>
          <w:kern w:val="0"/>
          <w:sz w:val="18"/>
          <w:szCs w:val="18"/>
          <w:lang w:val="zh-CN"/>
        </w:rPr>
        <w:t xml:space="preserve">A    </w:t>
      </w:r>
      <w:r w:rsidRPr="00B76C9A">
        <w:rPr>
          <w:rFonts w:ascii="黑体" w:eastAsia="黑体" w:cs="黑体"/>
          <w:color w:val="000000"/>
          <w:kern w:val="0"/>
          <w:sz w:val="18"/>
          <w:szCs w:val="18"/>
          <w:lang w:val="zh-CN"/>
        </w:rPr>
        <w:t>[</w:t>
      </w:r>
      <w:r w:rsidRPr="00B76C9A">
        <w:rPr>
          <w:rFonts w:ascii="黑体" w:eastAsia="黑体" w:cs="黑体" w:hint="eastAsia"/>
          <w:color w:val="000000"/>
          <w:kern w:val="0"/>
          <w:sz w:val="18"/>
          <w:szCs w:val="18"/>
          <w:lang w:val="zh-CN"/>
        </w:rPr>
        <w:t>文章编号</w:t>
      </w:r>
      <w:r w:rsidRPr="00B76C9A">
        <w:rPr>
          <w:rFonts w:ascii="黑体" w:eastAsia="黑体" w:cs="黑体"/>
          <w:color w:val="000000"/>
          <w:kern w:val="0"/>
          <w:sz w:val="18"/>
          <w:szCs w:val="18"/>
          <w:lang w:val="zh-CN"/>
        </w:rPr>
        <w:t>]</w:t>
      </w:r>
      <w:r w:rsidRPr="00B76C9A">
        <w:rPr>
          <w:rFonts w:ascii="楷体_GB2312" w:eastAsia="楷体_GB2312" w:cs="楷体_GB2312"/>
          <w:color w:val="000000"/>
          <w:kern w:val="0"/>
          <w:sz w:val="18"/>
          <w:szCs w:val="18"/>
          <w:lang w:val="zh-CN"/>
        </w:rPr>
        <w:t>1008-6455</w:t>
      </w:r>
      <w:r w:rsidRPr="00B76C9A">
        <w:rPr>
          <w:rFonts w:ascii="楷体_GB2312" w:eastAsia="楷体_GB2312" w:cs="楷体_GB2312" w:hint="eastAsia"/>
          <w:color w:val="000000"/>
          <w:kern w:val="0"/>
          <w:sz w:val="18"/>
          <w:szCs w:val="18"/>
          <w:lang w:val="zh-CN"/>
        </w:rPr>
        <w:t>（</w:t>
      </w:r>
      <w:r w:rsidRPr="00B76C9A">
        <w:rPr>
          <w:rFonts w:ascii="楷体_GB2312" w:eastAsia="楷体_GB2312" w:cs="楷体_GB2312"/>
          <w:color w:val="000000"/>
          <w:kern w:val="0"/>
          <w:sz w:val="18"/>
          <w:szCs w:val="18"/>
          <w:lang w:val="zh-CN"/>
        </w:rPr>
        <w:t>2022</w:t>
      </w:r>
      <w:r w:rsidRPr="00B76C9A">
        <w:rPr>
          <w:rFonts w:ascii="楷体_GB2312" w:eastAsia="楷体_GB2312" w:cs="楷体_GB2312" w:hint="eastAsia"/>
          <w:color w:val="000000"/>
          <w:kern w:val="0"/>
          <w:sz w:val="18"/>
          <w:szCs w:val="18"/>
          <w:lang w:val="zh-CN"/>
        </w:rPr>
        <w:t>）</w:t>
      </w:r>
      <w:r w:rsidRPr="00B76C9A">
        <w:rPr>
          <w:rFonts w:ascii="楷体_GB2312" w:eastAsia="楷体_GB2312" w:cs="楷体_GB2312"/>
          <w:color w:val="000000"/>
          <w:kern w:val="0"/>
          <w:sz w:val="18"/>
          <w:szCs w:val="18"/>
          <w:lang w:val="zh-CN"/>
        </w:rPr>
        <w:t>05-0082-04</w:t>
      </w:r>
    </w:p>
    <w:p w14:paraId="58D90025" w14:textId="77777777" w:rsidR="00B76C9A" w:rsidRPr="00B76C9A" w:rsidRDefault="00B76C9A" w:rsidP="00B76C9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17E77910" w14:textId="77777777" w:rsidR="00B76C9A" w:rsidRPr="00B76C9A" w:rsidRDefault="00B76C9A" w:rsidP="00B76C9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B76C9A">
        <w:rPr>
          <w:rFonts w:ascii="ITC Avant Garde Gothic Demi" w:eastAsia="方正小标宋_GBK" w:hAnsi="ITC Avant Garde Gothic Demi" w:cs="ITC Avant Garde Gothic Demi"/>
          <w:color w:val="7F00FF"/>
          <w:kern w:val="0"/>
          <w:sz w:val="24"/>
          <w:szCs w:val="24"/>
        </w:rPr>
        <w:t>Analysis of the Application Effect of Upper Eyelid Double Pedicled Myocutaneous Flap in the Repair of Cicatricial Lower Eyelid Ectropion</w:t>
      </w:r>
    </w:p>
    <w:p w14:paraId="261C2AB0" w14:textId="77777777" w:rsidR="00B76C9A" w:rsidRPr="00B76C9A" w:rsidRDefault="00B76C9A" w:rsidP="00B76C9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B76C9A">
        <w:rPr>
          <w:rFonts w:ascii="方正兰亭中黑_GBK" w:eastAsia="方正兰亭中黑_GBK" w:cs="方正兰亭中黑_GBK"/>
          <w:color w:val="000000"/>
          <w:kern w:val="0"/>
          <w:sz w:val="18"/>
          <w:szCs w:val="18"/>
        </w:rPr>
        <w:t>FANG Tao</w:t>
      </w:r>
      <w:proofErr w:type="gramStart"/>
      <w:r w:rsidRPr="00B76C9A">
        <w:rPr>
          <w:rFonts w:ascii="方正兰亭中黑_GBK" w:eastAsia="方正兰亭中黑_GBK" w:cs="方正兰亭中黑_GBK"/>
          <w:color w:val="000000"/>
          <w:kern w:val="0"/>
          <w:sz w:val="18"/>
          <w:szCs w:val="18"/>
          <w:vertAlign w:val="superscript"/>
        </w:rPr>
        <w:t>1</w:t>
      </w:r>
      <w:r w:rsidRPr="00B76C9A">
        <w:rPr>
          <w:rFonts w:ascii="方正兰亭中黑_GBK" w:eastAsia="方正兰亭中黑_GBK" w:cs="方正兰亭中黑_GBK"/>
          <w:color w:val="000000"/>
          <w:kern w:val="0"/>
          <w:sz w:val="18"/>
          <w:szCs w:val="18"/>
        </w:rPr>
        <w:t>,ZHANG</w:t>
      </w:r>
      <w:proofErr w:type="gramEnd"/>
      <w:r w:rsidRPr="00B76C9A">
        <w:rPr>
          <w:rFonts w:ascii="方正兰亭中黑_GBK" w:eastAsia="方正兰亭中黑_GBK" w:cs="方正兰亭中黑_GBK"/>
          <w:color w:val="000000"/>
          <w:kern w:val="0"/>
          <w:sz w:val="18"/>
          <w:szCs w:val="18"/>
        </w:rPr>
        <w:t xml:space="preserve"> Yongsheng</w:t>
      </w:r>
      <w:r w:rsidRPr="00B76C9A">
        <w:rPr>
          <w:rFonts w:ascii="方正兰亭中黑_GBK" w:eastAsia="方正兰亭中黑_GBK" w:cs="方正兰亭中黑_GBK"/>
          <w:color w:val="000000"/>
          <w:kern w:val="0"/>
          <w:sz w:val="18"/>
          <w:szCs w:val="18"/>
          <w:vertAlign w:val="superscript"/>
        </w:rPr>
        <w:t>1</w:t>
      </w:r>
      <w:r w:rsidRPr="00B76C9A">
        <w:rPr>
          <w:rFonts w:ascii="方正兰亭中黑_GBK" w:eastAsia="方正兰亭中黑_GBK" w:cs="方正兰亭中黑_GBK"/>
          <w:color w:val="000000"/>
          <w:kern w:val="0"/>
          <w:sz w:val="18"/>
          <w:szCs w:val="18"/>
        </w:rPr>
        <w:t>,LI Hongqiang</w:t>
      </w:r>
      <w:r w:rsidRPr="00B76C9A">
        <w:rPr>
          <w:rFonts w:ascii="方正兰亭中黑_GBK" w:eastAsia="方正兰亭中黑_GBK" w:cs="方正兰亭中黑_GBK"/>
          <w:color w:val="000000"/>
          <w:kern w:val="0"/>
          <w:sz w:val="18"/>
          <w:szCs w:val="18"/>
          <w:vertAlign w:val="superscript"/>
        </w:rPr>
        <w:t>2</w:t>
      </w:r>
    </w:p>
    <w:p w14:paraId="219E6D8B" w14:textId="77777777" w:rsidR="00B76C9A" w:rsidRPr="00B76C9A" w:rsidRDefault="00B76C9A" w:rsidP="00B76C9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B76C9A">
        <w:rPr>
          <w:rFonts w:ascii="Times New Roman" w:eastAsia="方正小标宋_GBK" w:hAnsi="Times New Roman" w:cs="Times New Roman"/>
          <w:color w:val="000000"/>
          <w:kern w:val="0"/>
          <w:sz w:val="19"/>
          <w:szCs w:val="19"/>
        </w:rPr>
        <w:t xml:space="preserve">(1. Beauty Clinic Wuchang Cascano </w:t>
      </w:r>
      <w:proofErr w:type="gramStart"/>
      <w:r w:rsidRPr="00B76C9A">
        <w:rPr>
          <w:rFonts w:ascii="Times New Roman" w:eastAsia="方正小标宋_GBK" w:hAnsi="Times New Roman" w:cs="Times New Roman"/>
          <w:color w:val="000000"/>
          <w:kern w:val="0"/>
          <w:sz w:val="19"/>
          <w:szCs w:val="19"/>
        </w:rPr>
        <w:t>Medical,Wuhan</w:t>
      </w:r>
      <w:proofErr w:type="gramEnd"/>
      <w:r w:rsidRPr="00B76C9A">
        <w:rPr>
          <w:rFonts w:ascii="Times New Roman" w:eastAsia="方正小标宋_GBK" w:hAnsi="Times New Roman" w:cs="Times New Roman"/>
          <w:color w:val="000000"/>
          <w:kern w:val="0"/>
          <w:sz w:val="19"/>
          <w:szCs w:val="19"/>
        </w:rPr>
        <w:t xml:space="preserve"> 430000,Hubei, China;2.Department of Aesthetic Surgery,Beijing Shengjiarong Medical Aesthetic Hospital, Beijing 100000,China)</w:t>
      </w:r>
    </w:p>
    <w:p w14:paraId="55DD2B89" w14:textId="77777777" w:rsidR="00B76C9A" w:rsidRPr="00B76C9A" w:rsidRDefault="00B76C9A" w:rsidP="00B76C9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20DC0FE5" w14:textId="77777777" w:rsidR="00B76C9A" w:rsidRPr="00B76C9A" w:rsidRDefault="00B76C9A" w:rsidP="00B76C9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76C9A">
        <w:rPr>
          <w:rFonts w:ascii="Didot HTF-B06-" w:eastAsia="方正小标宋_GBK" w:hAnsi="Didot HTF-B06-" w:cs="Didot HTF-B06-"/>
          <w:b/>
          <w:bCs/>
          <w:color w:val="000000"/>
          <w:kern w:val="0"/>
          <w:sz w:val="19"/>
          <w:szCs w:val="19"/>
        </w:rPr>
        <w:t xml:space="preserve">Abstract: Objective </w:t>
      </w:r>
      <w:r w:rsidRPr="00B76C9A">
        <w:rPr>
          <w:rFonts w:ascii="Times New Roman" w:eastAsia="方正小标宋_GBK" w:hAnsi="Times New Roman" w:cs="Times New Roman"/>
          <w:color w:val="000000"/>
          <w:kern w:val="0"/>
          <w:sz w:val="19"/>
          <w:szCs w:val="19"/>
        </w:rPr>
        <w:t xml:space="preserve">To explore the effect of upper eyelid double pedicled myocutaneous flap in the repair of patients with cicatricial lower eyelid ectropion. </w:t>
      </w:r>
      <w:r w:rsidRPr="00B76C9A">
        <w:rPr>
          <w:rFonts w:ascii="Didot HTF-B06-" w:eastAsia="方正小标宋_GBK" w:hAnsi="Didot HTF-B06-" w:cs="Didot HTF-B06-"/>
          <w:b/>
          <w:bCs/>
          <w:color w:val="000000"/>
          <w:kern w:val="0"/>
          <w:sz w:val="19"/>
          <w:szCs w:val="19"/>
        </w:rPr>
        <w:t>Methods</w:t>
      </w:r>
      <w:r w:rsidRPr="00B76C9A">
        <w:rPr>
          <w:rFonts w:ascii="Times New Roman" w:eastAsia="方正小标宋_GBK" w:hAnsi="Times New Roman" w:cs="Times New Roman"/>
          <w:color w:val="000000"/>
          <w:kern w:val="0"/>
          <w:sz w:val="19"/>
          <w:szCs w:val="19"/>
        </w:rPr>
        <w:t xml:space="preserve"> Total of 56 patients with cicatricial lower eyelid ectropion admitted to our hospital from June 2017 to June 2020 were selected and divided into single pedicle group (n=28) and double pedicle group (n=28) by the random number method. The two groups were treated with upper eyelid single pedicled myocutaneous flap transplantation and upper eyelid double pedicled myocutaneous flap transplantation. The basic data, clinical efficacy, length and width of the myocutaneous flap, complications, and satisfaction of the two groups were recorded. </w:t>
      </w:r>
      <w:r w:rsidRPr="00B76C9A">
        <w:rPr>
          <w:rFonts w:ascii="Didot HTF-B06-" w:eastAsia="方正小标宋_GBK" w:hAnsi="Didot HTF-B06-" w:cs="Didot HTF-B06-"/>
          <w:b/>
          <w:bCs/>
          <w:color w:val="000000"/>
          <w:kern w:val="0"/>
          <w:sz w:val="19"/>
          <w:szCs w:val="19"/>
        </w:rPr>
        <w:t xml:space="preserve">Results </w:t>
      </w:r>
      <w:r w:rsidRPr="00B76C9A">
        <w:rPr>
          <w:rFonts w:ascii="Times New Roman" w:eastAsia="方正小标宋_GBK" w:hAnsi="Times New Roman" w:cs="Times New Roman"/>
          <w:color w:val="000000"/>
          <w:kern w:val="0"/>
          <w:sz w:val="19"/>
          <w:szCs w:val="19"/>
        </w:rPr>
        <w:t>The total effective rate of the single pedicle group was 97.30%, and the total effective rate of the double pedicle group was 97.06%. There was no significant difference in the total effective rate of the two groups (P</w:t>
      </w:r>
      <w:r w:rsidRPr="00B76C9A">
        <w:rPr>
          <w:rFonts w:ascii="宋体" w:eastAsia="宋体" w:hAnsi="Times New Roman" w:cs="宋体" w:hint="eastAsia"/>
          <w:color w:val="000000"/>
          <w:kern w:val="0"/>
          <w:sz w:val="19"/>
          <w:szCs w:val="19"/>
        </w:rPr>
        <w:t>＞</w:t>
      </w:r>
      <w:r w:rsidRPr="00B76C9A">
        <w:rPr>
          <w:rFonts w:ascii="Times New Roman" w:eastAsia="方正小标宋_GBK" w:hAnsi="Times New Roman" w:cs="Times New Roman"/>
          <w:color w:val="000000"/>
          <w:kern w:val="0"/>
          <w:sz w:val="19"/>
          <w:szCs w:val="19"/>
        </w:rPr>
        <w:t>0.05). The length and width of the myocutaneous flap in the double pedicle group were greater than the single pedicle group (P</w:t>
      </w:r>
      <w:r w:rsidRPr="00B76C9A">
        <w:rPr>
          <w:rFonts w:ascii="宋体" w:eastAsia="宋体" w:hAnsi="Times New Roman" w:cs="宋体" w:hint="eastAsia"/>
          <w:color w:val="000000"/>
          <w:kern w:val="0"/>
          <w:sz w:val="19"/>
          <w:szCs w:val="19"/>
        </w:rPr>
        <w:t>＜</w:t>
      </w:r>
      <w:r w:rsidRPr="00B76C9A">
        <w:rPr>
          <w:rFonts w:ascii="Times New Roman" w:eastAsia="方正小标宋_GBK" w:hAnsi="Times New Roman" w:cs="Times New Roman"/>
          <w:color w:val="000000"/>
          <w:kern w:val="0"/>
          <w:sz w:val="19"/>
          <w:szCs w:val="19"/>
        </w:rPr>
        <w:t>0.05). The total incidence of complications in the single pedicle group was 8.11%, and the total incidence of complications in the double pedicle group was 5.88%. There was no significant difference in the total incidence of complications between the two groups (P</w:t>
      </w:r>
      <w:r w:rsidRPr="00B76C9A">
        <w:rPr>
          <w:rFonts w:ascii="宋体" w:eastAsia="宋体" w:hAnsi="Times New Roman" w:cs="宋体" w:hint="eastAsia"/>
          <w:color w:val="000000"/>
          <w:kern w:val="0"/>
          <w:sz w:val="19"/>
          <w:szCs w:val="19"/>
        </w:rPr>
        <w:t>＞</w:t>
      </w:r>
      <w:r w:rsidRPr="00B76C9A">
        <w:rPr>
          <w:rFonts w:ascii="Times New Roman" w:eastAsia="方正小标宋_GBK" w:hAnsi="Times New Roman" w:cs="Times New Roman"/>
          <w:color w:val="000000"/>
          <w:kern w:val="0"/>
          <w:sz w:val="19"/>
          <w:szCs w:val="19"/>
        </w:rPr>
        <w:t>0.05). The total satisfaction of the single pedicle group was 89.29%, and the total satisfaction of the double pedicle group was 92.86%. There was no significant difference in the total satisfaction of the two groups (P</w:t>
      </w:r>
      <w:r w:rsidRPr="00B76C9A">
        <w:rPr>
          <w:rFonts w:ascii="宋体" w:eastAsia="宋体" w:hAnsi="Times New Roman" w:cs="宋体" w:hint="eastAsia"/>
          <w:color w:val="000000"/>
          <w:kern w:val="0"/>
          <w:sz w:val="19"/>
          <w:szCs w:val="19"/>
        </w:rPr>
        <w:t>＞</w:t>
      </w:r>
      <w:r w:rsidRPr="00B76C9A">
        <w:rPr>
          <w:rFonts w:ascii="Times New Roman" w:eastAsia="方正小标宋_GBK" w:hAnsi="Times New Roman" w:cs="Times New Roman"/>
          <w:color w:val="000000"/>
          <w:kern w:val="0"/>
          <w:sz w:val="19"/>
          <w:szCs w:val="19"/>
        </w:rPr>
        <w:t xml:space="preserve">0.05). </w:t>
      </w:r>
      <w:r w:rsidRPr="00B76C9A">
        <w:rPr>
          <w:rFonts w:ascii="Didot HTF-B06-" w:eastAsia="方正小标宋_GBK" w:hAnsi="Didot HTF-B06-" w:cs="Didot HTF-B06-"/>
          <w:b/>
          <w:bCs/>
          <w:color w:val="000000"/>
          <w:kern w:val="0"/>
          <w:sz w:val="19"/>
          <w:szCs w:val="19"/>
        </w:rPr>
        <w:t>Conclusion</w:t>
      </w:r>
      <w:r w:rsidRPr="00B76C9A">
        <w:rPr>
          <w:rFonts w:ascii="Times New Roman" w:eastAsia="方正小标宋_GBK" w:hAnsi="Times New Roman" w:cs="Times New Roman"/>
          <w:color w:val="000000"/>
          <w:kern w:val="0"/>
          <w:sz w:val="19"/>
          <w:szCs w:val="19"/>
        </w:rPr>
        <w:t xml:space="preserve"> The upper eyelid double pedicled myocutaneous flap has a good effect in the repair of cicatricial lower eyelid ectropion. It can improve the appearance and function of the eyelid, restore the position of the lower lacrimal point, and has fewer complications and high satisfaction.</w:t>
      </w:r>
    </w:p>
    <w:p w14:paraId="355A97F6" w14:textId="77777777" w:rsidR="00B76C9A" w:rsidRPr="00B76C9A" w:rsidRDefault="00B76C9A" w:rsidP="00B76C9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76C9A">
        <w:rPr>
          <w:rFonts w:ascii="Didot HTF-B06-" w:eastAsia="方正小标宋_GBK" w:hAnsi="Didot HTF-B06-" w:cs="Didot HTF-B06-"/>
          <w:b/>
          <w:bCs/>
          <w:color w:val="000000"/>
          <w:kern w:val="0"/>
          <w:sz w:val="19"/>
          <w:szCs w:val="19"/>
        </w:rPr>
        <w:t>Key words:</w:t>
      </w:r>
      <w:r w:rsidRPr="00B76C9A">
        <w:rPr>
          <w:rFonts w:ascii="Times New Roman" w:eastAsia="方正小标宋_GBK" w:hAnsi="Times New Roman" w:cs="Times New Roman"/>
          <w:color w:val="000000"/>
          <w:kern w:val="0"/>
          <w:sz w:val="19"/>
          <w:szCs w:val="19"/>
        </w:rPr>
        <w:t xml:space="preserve"> lower eyelid ectropion; double pedicled myocutaneous flap; single pedicled myocutaneous flap; complications; satisfaction</w:t>
      </w:r>
    </w:p>
    <w:p w14:paraId="6F84950D" w14:textId="77777777" w:rsidR="00B76C9A" w:rsidRPr="00B76C9A" w:rsidRDefault="00B76C9A" w:rsidP="00B76C9A">
      <w:pPr>
        <w:autoSpaceDE w:val="0"/>
        <w:autoSpaceDN w:val="0"/>
        <w:adjustRightInd w:val="0"/>
        <w:spacing w:line="300" w:lineRule="atLeast"/>
        <w:ind w:firstLine="369"/>
        <w:textAlignment w:val="center"/>
        <w:rPr>
          <w:rFonts w:ascii="宋体" w:eastAsia="宋体" w:cs="宋体"/>
          <w:color w:val="000000"/>
          <w:kern w:val="0"/>
          <w:sz w:val="18"/>
          <w:szCs w:val="18"/>
        </w:rPr>
      </w:pPr>
    </w:p>
    <w:p w14:paraId="442981D9" w14:textId="77777777" w:rsidR="00F37CA4" w:rsidRPr="00B76C9A" w:rsidRDefault="00F37CA4" w:rsidP="00B76C9A"/>
    <w:sectPr w:rsidR="00F37CA4" w:rsidRPr="00B76C9A" w:rsidSect="00C83165">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ED70A" w14:textId="77777777" w:rsidR="005C279C" w:rsidRDefault="005C279C" w:rsidP="00D23F7F">
      <w:r>
        <w:separator/>
      </w:r>
    </w:p>
  </w:endnote>
  <w:endnote w:type="continuationSeparator" w:id="0">
    <w:p w14:paraId="560CA78D" w14:textId="77777777" w:rsidR="005C279C" w:rsidRDefault="005C279C"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DC407" w14:textId="77777777" w:rsidR="005C279C" w:rsidRDefault="005C279C" w:rsidP="00D23F7F">
      <w:r>
        <w:separator/>
      </w:r>
    </w:p>
  </w:footnote>
  <w:footnote w:type="continuationSeparator" w:id="0">
    <w:p w14:paraId="4A32ED02" w14:textId="77777777" w:rsidR="005C279C" w:rsidRDefault="005C279C"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F7D5A"/>
    <w:rsid w:val="00263E1B"/>
    <w:rsid w:val="0028200B"/>
    <w:rsid w:val="0029201E"/>
    <w:rsid w:val="002A05AC"/>
    <w:rsid w:val="002B1803"/>
    <w:rsid w:val="002B3C2B"/>
    <w:rsid w:val="002E6956"/>
    <w:rsid w:val="00306E10"/>
    <w:rsid w:val="00323F2F"/>
    <w:rsid w:val="00327E6E"/>
    <w:rsid w:val="0034754B"/>
    <w:rsid w:val="003762AF"/>
    <w:rsid w:val="003A32F2"/>
    <w:rsid w:val="003B18A2"/>
    <w:rsid w:val="003B6359"/>
    <w:rsid w:val="003B6F3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6134D"/>
    <w:rsid w:val="0059693B"/>
    <w:rsid w:val="005C279C"/>
    <w:rsid w:val="005C6447"/>
    <w:rsid w:val="005D305A"/>
    <w:rsid w:val="006048C3"/>
    <w:rsid w:val="00611313"/>
    <w:rsid w:val="00625FE7"/>
    <w:rsid w:val="00643D28"/>
    <w:rsid w:val="00647A10"/>
    <w:rsid w:val="006564E5"/>
    <w:rsid w:val="0067171C"/>
    <w:rsid w:val="006725C1"/>
    <w:rsid w:val="00683D5C"/>
    <w:rsid w:val="00693645"/>
    <w:rsid w:val="006C275C"/>
    <w:rsid w:val="006C38F3"/>
    <w:rsid w:val="00745F53"/>
    <w:rsid w:val="00770B65"/>
    <w:rsid w:val="0077496E"/>
    <w:rsid w:val="007A01AA"/>
    <w:rsid w:val="007C196A"/>
    <w:rsid w:val="007C294F"/>
    <w:rsid w:val="007D05C2"/>
    <w:rsid w:val="007D3248"/>
    <w:rsid w:val="007E2D57"/>
    <w:rsid w:val="007E70D7"/>
    <w:rsid w:val="00822E2C"/>
    <w:rsid w:val="0083040C"/>
    <w:rsid w:val="008573A9"/>
    <w:rsid w:val="00866941"/>
    <w:rsid w:val="00880E6C"/>
    <w:rsid w:val="008A6240"/>
    <w:rsid w:val="008D3F44"/>
    <w:rsid w:val="008E2730"/>
    <w:rsid w:val="009109D7"/>
    <w:rsid w:val="00931856"/>
    <w:rsid w:val="009850DB"/>
    <w:rsid w:val="009910A6"/>
    <w:rsid w:val="009A73EB"/>
    <w:rsid w:val="009C3D09"/>
    <w:rsid w:val="009E111D"/>
    <w:rsid w:val="009E4686"/>
    <w:rsid w:val="009F3495"/>
    <w:rsid w:val="009F7976"/>
    <w:rsid w:val="00A00D8E"/>
    <w:rsid w:val="00A12CD2"/>
    <w:rsid w:val="00A251AE"/>
    <w:rsid w:val="00A31D12"/>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1557</TotalTime>
  <Pages>1</Pages>
  <Words>442</Words>
  <Characters>2522</Characters>
  <Application>Microsoft Office Word</Application>
  <DocSecurity>0</DocSecurity>
  <Lines>21</Lines>
  <Paragraphs>5</Paragraphs>
  <ScaleCrop>false</ScaleCrop>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158</cp:revision>
  <cp:lastPrinted>2022-05-31T02:26:00Z</cp:lastPrinted>
  <dcterms:created xsi:type="dcterms:W3CDTF">2022-03-07T01:53:00Z</dcterms:created>
  <dcterms:modified xsi:type="dcterms:W3CDTF">2022-05-31T03:27:00Z</dcterms:modified>
</cp:coreProperties>
</file>