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5862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循证护理干预对</w:t>
      </w:r>
      <w:r>
        <w:rPr>
          <w:rFonts w:hint="eastAsia"/>
        </w:rPr>
        <w:t>308 nm</w:t>
      </w:r>
      <w:r>
        <w:rPr>
          <w:rFonts w:hint="eastAsia"/>
        </w:rPr>
        <w:t>准分子光治疗儿童白癜风疗效的影响分析</w:t>
      </w:r>
    </w:p>
    <w:p w14:paraId="6F247081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王春爽，苏晨琳，刘春景，杨丽君</w:t>
      </w:r>
    </w:p>
    <w:p w14:paraId="63FCFAF3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（唐山市妇幼保健院皮肤科</w:t>
      </w:r>
      <w:r>
        <w:rPr>
          <w:rFonts w:hint="eastAsia"/>
        </w:rPr>
        <w:t xml:space="preserve"> </w:t>
      </w:r>
      <w:r>
        <w:rPr>
          <w:rFonts w:hint="eastAsia"/>
        </w:rPr>
        <w:t>河北</w:t>
      </w:r>
      <w:r>
        <w:rPr>
          <w:rFonts w:hint="eastAsia"/>
        </w:rPr>
        <w:t xml:space="preserve"> </w:t>
      </w:r>
      <w:r>
        <w:rPr>
          <w:rFonts w:hint="eastAsia"/>
        </w:rPr>
        <w:t>唐山</w:t>
      </w:r>
      <w:r>
        <w:rPr>
          <w:rFonts w:hint="eastAsia"/>
        </w:rPr>
        <w:t xml:space="preserve"> 063000</w:t>
      </w:r>
      <w:r>
        <w:rPr>
          <w:rFonts w:hint="eastAsia"/>
        </w:rPr>
        <w:t>）</w:t>
      </w:r>
    </w:p>
    <w:p w14:paraId="7B34204E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摘要</w:t>
      </w:r>
      <w:r>
        <w:rPr>
          <w:rFonts w:hint="eastAsia"/>
        </w:rPr>
        <w:t>]</w:t>
      </w:r>
      <w:r>
        <w:rPr>
          <w:rFonts w:hint="eastAsia"/>
        </w:rPr>
        <w:t>目的：探讨循证护理干预对</w:t>
      </w:r>
      <w:r>
        <w:rPr>
          <w:rFonts w:hint="eastAsia"/>
        </w:rPr>
        <w:t>308 nm</w:t>
      </w:r>
      <w:r>
        <w:rPr>
          <w:rFonts w:hint="eastAsia"/>
        </w:rPr>
        <w:t>准分子光治疗儿童白癜风疗效的影响。方法：选取笔者医院收治的</w:t>
      </w:r>
      <w:r>
        <w:rPr>
          <w:rFonts w:hint="eastAsia"/>
        </w:rPr>
        <w:t>50</w:t>
      </w:r>
      <w:r>
        <w:rPr>
          <w:rFonts w:hint="eastAsia"/>
        </w:rPr>
        <w:t>例白癜风患儿</w:t>
      </w:r>
    </w:p>
    <w:p w14:paraId="19C83CFC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作为研究对象。根据治疗方式不同分为两组。其中对照组</w:t>
      </w:r>
      <w:r>
        <w:rPr>
          <w:rFonts w:hint="eastAsia"/>
        </w:rPr>
        <w:t>26</w:t>
      </w:r>
      <w:r>
        <w:rPr>
          <w:rFonts w:hint="eastAsia"/>
        </w:rPr>
        <w:t>例，研究组</w:t>
      </w:r>
      <w:r>
        <w:rPr>
          <w:rFonts w:hint="eastAsia"/>
        </w:rPr>
        <w:t>24</w:t>
      </w:r>
      <w:r>
        <w:rPr>
          <w:rFonts w:hint="eastAsia"/>
        </w:rPr>
        <w:t>例。两组均采用药物治疗联合</w:t>
      </w:r>
      <w:r>
        <w:rPr>
          <w:rFonts w:hint="eastAsia"/>
        </w:rPr>
        <w:t>308 nm</w:t>
      </w:r>
      <w:r>
        <w:rPr>
          <w:rFonts w:hint="eastAsia"/>
        </w:rPr>
        <w:t>准分子光疗，</w:t>
      </w:r>
    </w:p>
    <w:p w14:paraId="31D851B6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对照组采用常规护理，研究组采用循证护理干预，比较两组临床疗效、生活质量及不良反应情况。结果：治疗后，研究组的</w:t>
      </w:r>
    </w:p>
    <w:p w14:paraId="52C37581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皮损色素评分显著高于对照组，皮损面积显著低于对照组，差异有统计学意义（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）。研究组不良反应发生率较对照</w:t>
      </w:r>
    </w:p>
    <w:p w14:paraId="2F7FAD28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组低，差异有统计学意义（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）。研究组的生活质量较对照组高，差异有统计学意义（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）。结论：药物及光疗</w:t>
      </w:r>
    </w:p>
    <w:p w14:paraId="5022A275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治疗的基础上联合循证护理干预对白癜风患儿的疗效更为显著，同时还可降低其不良反应发生率，最终提高患儿的生活质</w:t>
      </w:r>
    </w:p>
    <w:p w14:paraId="5BBF54EB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量，值得临床推广应用。</w:t>
      </w:r>
    </w:p>
    <w:p w14:paraId="5629A338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关键词</w:t>
      </w:r>
      <w:r>
        <w:rPr>
          <w:rFonts w:hint="eastAsia"/>
        </w:rPr>
        <w:t>]</w:t>
      </w:r>
      <w:r>
        <w:rPr>
          <w:rFonts w:hint="eastAsia"/>
        </w:rPr>
        <w:t>循证护理干预；光疗；白癜风；儿童；疗效；预后</w:t>
      </w:r>
    </w:p>
    <w:p w14:paraId="1667921C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中图分类号</w:t>
      </w:r>
      <w:r>
        <w:rPr>
          <w:rFonts w:hint="eastAsia"/>
        </w:rPr>
        <w:t>]R758.4+</w:t>
      </w:r>
    </w:p>
    <w:p w14:paraId="1E5CEBD4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t>1 [</w:t>
      </w:r>
      <w:r>
        <w:rPr>
          <w:rFonts w:hint="eastAsia"/>
        </w:rPr>
        <w:t>文献标志码</w:t>
      </w:r>
      <w:r>
        <w:rPr>
          <w:rFonts w:hint="eastAsia"/>
        </w:rPr>
        <w:t>]B [</w:t>
      </w:r>
      <w:r>
        <w:rPr>
          <w:rFonts w:hint="eastAsia"/>
        </w:rPr>
        <w:t>文章编号</w:t>
      </w:r>
      <w:r>
        <w:rPr>
          <w:rFonts w:hint="eastAsia"/>
        </w:rPr>
        <w:t>]1008-6455</w:t>
      </w:r>
      <w:r>
        <w:rPr>
          <w:rFonts w:hint="eastAsia"/>
        </w:rPr>
        <w:t>（</w:t>
      </w:r>
      <w:r>
        <w:rPr>
          <w:rFonts w:hint="eastAsia"/>
        </w:rPr>
        <w:t>2022</w:t>
      </w:r>
      <w:r>
        <w:rPr>
          <w:rFonts w:hint="eastAsia"/>
        </w:rPr>
        <w:t>）</w:t>
      </w:r>
      <w:r>
        <w:rPr>
          <w:rFonts w:hint="eastAsia"/>
        </w:rPr>
        <w:t>08-0172-03</w:t>
      </w:r>
    </w:p>
    <w:p w14:paraId="6DCFEB92" w14:textId="77777777" w:rsidR="00CE7656" w:rsidRDefault="00CE7656" w:rsidP="00CE7656">
      <w:r>
        <w:t xml:space="preserve">Effect of Evidence-based Nursing Intervention on Children with Vitiligo Treated by </w:t>
      </w:r>
    </w:p>
    <w:p w14:paraId="5C8D2BC9" w14:textId="77777777" w:rsidR="00CE7656" w:rsidRDefault="00CE7656" w:rsidP="00CE7656">
      <w:r>
        <w:t>308 nm Excimer Laser</w:t>
      </w:r>
    </w:p>
    <w:p w14:paraId="2ED59FA7" w14:textId="77777777" w:rsidR="00CE7656" w:rsidRDefault="00CE7656" w:rsidP="00CE7656">
      <w:r>
        <w:t xml:space="preserve">WANG </w:t>
      </w:r>
      <w:proofErr w:type="spellStart"/>
      <w:r>
        <w:t>Chunshuang,SU</w:t>
      </w:r>
      <w:proofErr w:type="spellEnd"/>
      <w:r>
        <w:t xml:space="preserve"> </w:t>
      </w:r>
      <w:proofErr w:type="spellStart"/>
      <w:r>
        <w:t>Chenlin,LIU</w:t>
      </w:r>
      <w:proofErr w:type="spellEnd"/>
      <w:r>
        <w:t xml:space="preserve"> </w:t>
      </w:r>
      <w:proofErr w:type="spellStart"/>
      <w:r>
        <w:t>Chunjing,YANG</w:t>
      </w:r>
      <w:proofErr w:type="spellEnd"/>
      <w:r>
        <w:t xml:space="preserve"> Lijun</w:t>
      </w:r>
    </w:p>
    <w:p w14:paraId="545A9725" w14:textId="77777777" w:rsidR="00CE7656" w:rsidRDefault="00CE7656" w:rsidP="00CE7656">
      <w:r>
        <w:t xml:space="preserve">(Department of </w:t>
      </w:r>
      <w:proofErr w:type="spellStart"/>
      <w:r>
        <w:t>Dermatology,Tangshan</w:t>
      </w:r>
      <w:proofErr w:type="spellEnd"/>
      <w:r>
        <w:t xml:space="preserve"> Maternal and Child Health Care </w:t>
      </w:r>
      <w:proofErr w:type="spellStart"/>
      <w:r>
        <w:t>Hospital,Tangshan</w:t>
      </w:r>
      <w:proofErr w:type="spellEnd"/>
      <w:r>
        <w:t xml:space="preserve"> 063000,Hebei,China)</w:t>
      </w:r>
    </w:p>
    <w:p w14:paraId="3265393D" w14:textId="1414265C" w:rsidR="00CE7656" w:rsidRDefault="00CE7656" w:rsidP="00CE7656">
      <w:r>
        <w:t xml:space="preserve">Abstract: Objective To explore the effect of evidence-based nursing intervention on children with vitiligo treated by 308 nm </w:t>
      </w:r>
    </w:p>
    <w:p w14:paraId="7051A7FB" w14:textId="77777777" w:rsidR="00CE7656" w:rsidRDefault="00CE7656" w:rsidP="00CE7656">
      <w:r>
        <w:t xml:space="preserve">excimer laser. Methods 50 children with vitiligo in our hospital were selected as the research object. They were divided into </w:t>
      </w:r>
    </w:p>
    <w:p w14:paraId="07A64BB0" w14:textId="508D596C" w:rsidR="00CE7656" w:rsidRDefault="00CE7656" w:rsidP="00CE7656">
      <w:r>
        <w:t xml:space="preserve">two groups according to the </w:t>
      </w:r>
      <w:r w:rsidRPr="00CE7656">
        <w:rPr>
          <w:caps/>
        </w:rPr>
        <w:t>difference</w:t>
      </w:r>
      <w:r>
        <w:t xml:space="preserve">s of treatment methods. There were 26 children in the control group and 24 children in </w:t>
      </w:r>
    </w:p>
    <w:p w14:paraId="11B24A06" w14:textId="77777777" w:rsidR="00CE7656" w:rsidRDefault="00CE7656" w:rsidP="00CE7656">
      <w:r>
        <w:t xml:space="preserve">the study group. Both groups were treated with drug therapy combined with 308 nm excimer laser. The children in the control </w:t>
      </w:r>
    </w:p>
    <w:p w14:paraId="7FCE8CA9" w14:textId="77777777" w:rsidR="00CE7656" w:rsidRDefault="00CE7656" w:rsidP="00CE7656">
      <w:r>
        <w:t xml:space="preserve">group were treated with routine nursing. The children in the study group were treated with evidence-based nursing intervention </w:t>
      </w:r>
    </w:p>
    <w:p w14:paraId="31F73059" w14:textId="77777777" w:rsidR="00CE7656" w:rsidRDefault="00CE7656" w:rsidP="00CE7656">
      <w:r>
        <w:t xml:space="preserve">on the basis of routine nursing. The clinical efficacy, quality of life and adverse reactions were compared between the two </w:t>
      </w:r>
    </w:p>
    <w:p w14:paraId="73069108" w14:textId="3B10F1AC" w:rsidR="00CE7656" w:rsidRDefault="00CE7656" w:rsidP="00CE7656">
      <w:r>
        <w:t xml:space="preserve">groups. Results After treatment, the skin lesion pigment score of the study group was significantly higher than that of the </w:t>
      </w:r>
    </w:p>
    <w:p w14:paraId="5DF6E3C7" w14:textId="6051BEC8" w:rsidR="00CE7656" w:rsidRDefault="00CE7656" w:rsidP="00CE7656">
      <w:r>
        <w:t xml:space="preserve">control group, and the skin lesion area was significantly lower than that of the control group, the </w:t>
      </w:r>
      <w:r w:rsidRPr="00CE7656">
        <w:rPr>
          <w:caps/>
        </w:rPr>
        <w:t>difference</w:t>
      </w:r>
      <w:r>
        <w:t xml:space="preserve">s were statistically </w:t>
      </w:r>
    </w:p>
    <w:p w14:paraId="638D3D81" w14:textId="3F4BF70F" w:rsidR="00CE7656" w:rsidRDefault="00CE7656" w:rsidP="00CE7656">
      <w:pPr>
        <w:rPr>
          <w:rFonts w:hint="eastAsia"/>
        </w:rPr>
      </w:pPr>
      <w:r>
        <w:rPr>
          <w:rFonts w:hint="eastAsia"/>
        </w:rPr>
        <w:t>significant (P</w:t>
      </w:r>
      <w:r>
        <w:rPr>
          <w:rFonts w:hint="eastAsia"/>
        </w:rPr>
        <w:t>＜</w:t>
      </w:r>
      <w:r>
        <w:rPr>
          <w:rFonts w:hint="eastAsia"/>
        </w:rPr>
        <w:t xml:space="preserve">0.05). The incidence of adverse reactions in the study group was lower than that in the control group, and the </w:t>
      </w:r>
    </w:p>
    <w:p w14:paraId="3C7D7380" w14:textId="0FAEC86F" w:rsidR="00CE7656" w:rsidRDefault="00CE7656" w:rsidP="00CE7656">
      <w:pPr>
        <w:rPr>
          <w:rFonts w:hint="eastAsia"/>
        </w:rPr>
      </w:pPr>
      <w:r w:rsidRPr="00CE7656">
        <w:rPr>
          <w:rFonts w:hint="eastAsia"/>
          <w:caps/>
        </w:rPr>
        <w:t>difference</w:t>
      </w:r>
      <w:r>
        <w:rPr>
          <w:rFonts w:hint="eastAsia"/>
        </w:rPr>
        <w:t xml:space="preserve"> was statistically significant (P</w:t>
      </w:r>
      <w:r>
        <w:rPr>
          <w:rFonts w:hint="eastAsia"/>
        </w:rPr>
        <w:t>＜</w:t>
      </w:r>
      <w:r>
        <w:rPr>
          <w:rFonts w:hint="eastAsia"/>
        </w:rPr>
        <w:t xml:space="preserve">0.05). The quality of life of the study group was higher than that of the control group </w:t>
      </w:r>
    </w:p>
    <w:p w14:paraId="33C4D615" w14:textId="77777777" w:rsidR="00CE7656" w:rsidRDefault="00CE7656" w:rsidP="00CE7656">
      <w:pPr>
        <w:rPr>
          <w:rFonts w:hint="eastAsia"/>
        </w:rPr>
      </w:pPr>
      <w:r>
        <w:rPr>
          <w:rFonts w:hint="eastAsia"/>
        </w:rPr>
        <w:lastRenderedPageBreak/>
        <w:t>(P</w:t>
      </w:r>
      <w:r>
        <w:rPr>
          <w:rFonts w:hint="eastAsia"/>
        </w:rPr>
        <w:t>＜</w:t>
      </w:r>
      <w:r>
        <w:rPr>
          <w:rFonts w:hint="eastAsia"/>
        </w:rPr>
        <w:t xml:space="preserve">0.05). Conclusion The combination of evidence-based nursing intervention on the basis of drug and phototherapy is more </w:t>
      </w:r>
    </w:p>
    <w:p w14:paraId="2155C2A4" w14:textId="26BFF924" w:rsidR="00CE7656" w:rsidRDefault="00CE7656" w:rsidP="00CE7656">
      <w:r>
        <w:t xml:space="preserve">effective in children with vitiligo. At the same time, it can reduce the incidence of adverse reactions and </w:t>
      </w:r>
      <w:r w:rsidRPr="00CE7656">
        <w:rPr>
          <w:caps/>
        </w:rPr>
        <w:t>finally</w:t>
      </w:r>
      <w:r>
        <w:t xml:space="preserve"> improve the </w:t>
      </w:r>
    </w:p>
    <w:p w14:paraId="7218CD57" w14:textId="77777777" w:rsidR="00CE7656" w:rsidRDefault="00CE7656" w:rsidP="00CE7656">
      <w:r>
        <w:t>quality of life of children. It is worthy of clinical application.</w:t>
      </w:r>
    </w:p>
    <w:p w14:paraId="143646D3" w14:textId="2DC59340" w:rsidR="002A426A" w:rsidRPr="00CE7656" w:rsidRDefault="00CE7656" w:rsidP="00CE7656">
      <w:r>
        <w:t>Key words: evidence-based nursing intervention; phototherapy; vitiligo; children; curative effect; prognosis</w:t>
      </w:r>
    </w:p>
    <w:sectPr w:rsidR="002A426A" w:rsidRPr="00CE76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B98405E-A8AF-4A96-8A28-CE155F126F53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A0BE7"/>
    <w:multiLevelType w:val="hybridMultilevel"/>
    <w:tmpl w:val="F338510C"/>
    <w:lvl w:ilvl="0" w:tplc="56CAEE7E">
      <w:start w:val="1"/>
      <w:numFmt w:val="decimal"/>
      <w:lvlText w:val="(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1" w15:restartNumberingAfterBreak="0">
    <w:nsid w:val="35C03C3E"/>
    <w:multiLevelType w:val="hybridMultilevel"/>
    <w:tmpl w:val="CFA6D0C0"/>
    <w:lvl w:ilvl="0" w:tplc="15EC3F4C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441BB7"/>
    <w:multiLevelType w:val="hybridMultilevel"/>
    <w:tmpl w:val="82E4FCEA"/>
    <w:lvl w:ilvl="0" w:tplc="D136BFD2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66591881">
    <w:abstractNumId w:val="1"/>
  </w:num>
  <w:num w:numId="2" w16cid:durableId="754743306">
    <w:abstractNumId w:val="2"/>
  </w:num>
  <w:num w:numId="3" w16cid:durableId="751662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33362"/>
    <w:rsid w:val="00041933"/>
    <w:rsid w:val="00043134"/>
    <w:rsid w:val="0007579F"/>
    <w:rsid w:val="000A7C4F"/>
    <w:rsid w:val="000B1F56"/>
    <w:rsid w:val="000F6A46"/>
    <w:rsid w:val="00137107"/>
    <w:rsid w:val="00137ABE"/>
    <w:rsid w:val="00173B80"/>
    <w:rsid w:val="00180761"/>
    <w:rsid w:val="001A1F94"/>
    <w:rsid w:val="001D3916"/>
    <w:rsid w:val="001E4621"/>
    <w:rsid w:val="00232F23"/>
    <w:rsid w:val="00255034"/>
    <w:rsid w:val="00286638"/>
    <w:rsid w:val="002918D1"/>
    <w:rsid w:val="002A3A2D"/>
    <w:rsid w:val="002A426A"/>
    <w:rsid w:val="002A68AE"/>
    <w:rsid w:val="002F55F4"/>
    <w:rsid w:val="00351B5A"/>
    <w:rsid w:val="00357132"/>
    <w:rsid w:val="00357383"/>
    <w:rsid w:val="003906F0"/>
    <w:rsid w:val="003B0A26"/>
    <w:rsid w:val="003C5C80"/>
    <w:rsid w:val="003F4CAE"/>
    <w:rsid w:val="00414CCC"/>
    <w:rsid w:val="00443808"/>
    <w:rsid w:val="004D7BA8"/>
    <w:rsid w:val="00525F2A"/>
    <w:rsid w:val="0056306C"/>
    <w:rsid w:val="005D6AF1"/>
    <w:rsid w:val="005E5D12"/>
    <w:rsid w:val="005E7193"/>
    <w:rsid w:val="00621957"/>
    <w:rsid w:val="00626E93"/>
    <w:rsid w:val="00633E34"/>
    <w:rsid w:val="00684D3A"/>
    <w:rsid w:val="006D635A"/>
    <w:rsid w:val="006D6D8B"/>
    <w:rsid w:val="006F32E4"/>
    <w:rsid w:val="00704033"/>
    <w:rsid w:val="007609FD"/>
    <w:rsid w:val="00763A7D"/>
    <w:rsid w:val="007641BF"/>
    <w:rsid w:val="008061D5"/>
    <w:rsid w:val="00823940"/>
    <w:rsid w:val="00830FBE"/>
    <w:rsid w:val="008844D5"/>
    <w:rsid w:val="008E0187"/>
    <w:rsid w:val="009050DA"/>
    <w:rsid w:val="0091183A"/>
    <w:rsid w:val="0094557B"/>
    <w:rsid w:val="00981103"/>
    <w:rsid w:val="009B6ABE"/>
    <w:rsid w:val="009D16FF"/>
    <w:rsid w:val="009D3D2F"/>
    <w:rsid w:val="009E1B54"/>
    <w:rsid w:val="00A24D59"/>
    <w:rsid w:val="00A33E6F"/>
    <w:rsid w:val="00A4287F"/>
    <w:rsid w:val="00A5473A"/>
    <w:rsid w:val="00A87C2B"/>
    <w:rsid w:val="00AA1E7F"/>
    <w:rsid w:val="00AA2214"/>
    <w:rsid w:val="00B26738"/>
    <w:rsid w:val="00B37888"/>
    <w:rsid w:val="00B51139"/>
    <w:rsid w:val="00BA2959"/>
    <w:rsid w:val="00BB30CE"/>
    <w:rsid w:val="00BD3E38"/>
    <w:rsid w:val="00C02216"/>
    <w:rsid w:val="00C22FA9"/>
    <w:rsid w:val="00C323AD"/>
    <w:rsid w:val="00C639A2"/>
    <w:rsid w:val="00CE7196"/>
    <w:rsid w:val="00CE7656"/>
    <w:rsid w:val="00CF4706"/>
    <w:rsid w:val="00D349EA"/>
    <w:rsid w:val="00D530BC"/>
    <w:rsid w:val="00D77F52"/>
    <w:rsid w:val="00DA496D"/>
    <w:rsid w:val="00DF1825"/>
    <w:rsid w:val="00E21237"/>
    <w:rsid w:val="00E21D7D"/>
    <w:rsid w:val="00E439E8"/>
    <w:rsid w:val="00E64659"/>
    <w:rsid w:val="00E81217"/>
    <w:rsid w:val="00E837BA"/>
    <w:rsid w:val="00E94087"/>
    <w:rsid w:val="00EA7C27"/>
    <w:rsid w:val="00FB4E1B"/>
    <w:rsid w:val="00FC6BF9"/>
    <w:rsid w:val="0B2226D0"/>
    <w:rsid w:val="0B842727"/>
    <w:rsid w:val="0D18022F"/>
    <w:rsid w:val="1F415FD7"/>
    <w:rsid w:val="21744E6A"/>
    <w:rsid w:val="24D13E1C"/>
    <w:rsid w:val="26E74AA2"/>
    <w:rsid w:val="27247AA4"/>
    <w:rsid w:val="407E7DCE"/>
    <w:rsid w:val="41913D50"/>
    <w:rsid w:val="43B9736F"/>
    <w:rsid w:val="529E2F3B"/>
    <w:rsid w:val="5AC60D63"/>
    <w:rsid w:val="5EA507C4"/>
    <w:rsid w:val="6E6C09B6"/>
    <w:rsid w:val="7051768E"/>
    <w:rsid w:val="70A02B99"/>
    <w:rsid w:val="743401C8"/>
    <w:rsid w:val="7D0F3580"/>
    <w:rsid w:val="7F97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366DB1"/>
  <w15:docId w15:val="{ED92E97E-F3E0-47AC-ACDA-DB1EB9F0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1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5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6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7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7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2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3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2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218</cp:revision>
  <dcterms:created xsi:type="dcterms:W3CDTF">2022-07-04T07:48:00Z</dcterms:created>
  <dcterms:modified xsi:type="dcterms:W3CDTF">2022-08-29T09:15:00Z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489711634ADF4131B054904A1A208ED9</vt:lpwstr>
  </property>
</Properties>
</file>