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8"/>
          <w:szCs w:val="28"/>
        </w:rPr>
      </w:pPr>
      <w:r>
        <w:rPr>
          <w:rFonts w:ascii="宋体" w:hAnsi="宋体" w:eastAsia="宋体" w:cs="宋体"/>
          <w:sz w:val="28"/>
          <w:szCs w:val="28"/>
        </w:rPr>
        <w:t xml:space="preserve">A型肉毒毒素通过自噬途径对大鼠皮瓣缺血再灌注的保护作用研究 </w:t>
      </w:r>
    </w:p>
    <w:p>
      <w:pPr>
        <w:rPr>
          <w:rFonts w:ascii="宋体" w:hAnsi="宋体" w:eastAsia="宋体" w:cs="宋体"/>
          <w:sz w:val="28"/>
          <w:szCs w:val="28"/>
        </w:rPr>
      </w:pPr>
    </w:p>
    <w:p>
      <w:pPr>
        <w:rPr>
          <w:rFonts w:ascii="宋体" w:hAnsi="宋体" w:eastAsia="宋体" w:cs="宋体"/>
          <w:sz w:val="28"/>
          <w:szCs w:val="28"/>
        </w:rPr>
      </w:pPr>
      <w:r>
        <w:rPr>
          <w:rFonts w:ascii="宋体" w:hAnsi="宋体" w:eastAsia="宋体" w:cs="宋体"/>
          <w:sz w:val="28"/>
          <w:szCs w:val="28"/>
        </w:rPr>
        <w:t xml:space="preserve">崔 超1 ，张 珊2 ，林 煌3 </w:t>
      </w:r>
    </w:p>
    <w:p>
      <w:pPr>
        <w:rPr>
          <w:rFonts w:ascii="宋体" w:hAnsi="宋体" w:eastAsia="宋体" w:cs="宋体"/>
          <w:sz w:val="28"/>
          <w:szCs w:val="28"/>
        </w:rPr>
      </w:pPr>
    </w:p>
    <w:p>
      <w:pPr>
        <w:numPr>
          <w:ilvl w:val="0"/>
          <w:numId w:val="1"/>
        </w:numPr>
        <w:rPr>
          <w:rFonts w:ascii="宋体" w:hAnsi="宋体" w:eastAsia="宋体" w:cs="宋体"/>
          <w:sz w:val="28"/>
          <w:szCs w:val="28"/>
        </w:rPr>
      </w:pPr>
      <w:r>
        <w:rPr>
          <w:rFonts w:ascii="宋体" w:hAnsi="宋体" w:eastAsia="宋体" w:cs="宋体"/>
          <w:sz w:val="28"/>
          <w:szCs w:val="28"/>
        </w:rPr>
        <w:t xml:space="preserve">北京怀柔医院急诊科 北京 100014；2.北京怀柔医院肿瘤科 北京 100014；3.首都医科大学附属北京安贞医院整形科 北京 100029） </w:t>
      </w:r>
    </w:p>
    <w:p>
      <w:pPr>
        <w:numPr>
          <w:numId w:val="0"/>
        </w:numPr>
        <w:rPr>
          <w:rFonts w:ascii="宋体" w:hAnsi="宋体" w:eastAsia="宋体" w:cs="宋体"/>
          <w:sz w:val="28"/>
          <w:szCs w:val="28"/>
        </w:rPr>
      </w:pPr>
    </w:p>
    <w:p>
      <w:pPr>
        <w:numPr>
          <w:numId w:val="0"/>
        </w:numPr>
        <w:rPr>
          <w:rFonts w:ascii="宋体" w:hAnsi="宋体" w:eastAsia="宋体" w:cs="宋体"/>
          <w:sz w:val="28"/>
          <w:szCs w:val="28"/>
        </w:rPr>
      </w:pPr>
      <w:r>
        <w:rPr>
          <w:rFonts w:ascii="宋体" w:hAnsi="宋体" w:eastAsia="宋体" w:cs="宋体"/>
          <w:sz w:val="28"/>
          <w:szCs w:val="28"/>
        </w:rPr>
        <w:t>[摘要]目的：探讨A型肉毒毒素（Botulinum toxin A，BTX-A）对大鼠皮瓣的缺血再灌注的保护机制与自噬的关系，为提高 皮瓣成活率提供新的靶点。方法：将大鼠随机分为四组：假手术组、I/R组、BTX-A+I/R组和BTX-A+I/R+3-MA组。制作大鼠腹 部岛状皮瓣，诱导缺血8 h。术前7 d在靠近蒂的皮下层给予BTX-A或0.9%生理盐水。BTX-A+I/R+3-MA组再灌注前20 min通过腹 腔注射给药自噬阻滞剂3-MA。术后第7天，评估皮瓣存活率。HE染色检测血管数目。免疫组织化学染色用于评估CD34和LC3的 表达水平。凋亡细胞数量通过Tunel染色显示。结果：BTX-A+I/R组皮瓣存活面积大于I/R组。与I/R组相比，BTX-A+I/R组减 少了皮瓣坏死，血管生成增加、LC3表达增加并抑制细胞凋亡。3-MA处理可以抑制BTX-A对皮瓣的保护。结论：BTX-A通过增 强自噬保护皮瓣缺血再灌注损伤。本研究为提高皮瓣移植成功率提供了一种新的理论方法。</w:t>
      </w:r>
    </w:p>
    <w:p>
      <w:pPr>
        <w:numPr>
          <w:numId w:val="0"/>
        </w:numPr>
        <w:rPr>
          <w:rFonts w:ascii="宋体" w:hAnsi="宋体" w:eastAsia="宋体" w:cs="宋体"/>
          <w:sz w:val="28"/>
          <w:szCs w:val="28"/>
        </w:rPr>
      </w:pPr>
    </w:p>
    <w:p>
      <w:pPr>
        <w:numPr>
          <w:numId w:val="0"/>
        </w:numPr>
        <w:rPr>
          <w:rFonts w:ascii="宋体" w:hAnsi="宋体" w:eastAsia="宋体" w:cs="宋体"/>
          <w:sz w:val="28"/>
          <w:szCs w:val="28"/>
        </w:rPr>
      </w:pPr>
      <w:r>
        <w:rPr>
          <w:rFonts w:ascii="宋体" w:hAnsi="宋体" w:eastAsia="宋体" w:cs="宋体"/>
          <w:sz w:val="28"/>
          <w:szCs w:val="28"/>
        </w:rPr>
        <w:t xml:space="preserve"> [关键词]A型肉毒毒素；缺血再灌注损伤；皮瓣；自噬；凋亡 </w:t>
      </w:r>
    </w:p>
    <w:p>
      <w:pPr>
        <w:numPr>
          <w:numId w:val="0"/>
        </w:numPr>
        <w:rPr>
          <w:rFonts w:ascii="宋体" w:hAnsi="宋体" w:eastAsia="宋体" w:cs="宋体"/>
          <w:sz w:val="28"/>
          <w:szCs w:val="28"/>
        </w:rPr>
      </w:pPr>
    </w:p>
    <w:p>
      <w:pPr>
        <w:numPr>
          <w:numId w:val="0"/>
        </w:numPr>
        <w:rPr>
          <w:rFonts w:ascii="宋体" w:hAnsi="宋体" w:eastAsia="宋体" w:cs="宋体"/>
          <w:sz w:val="28"/>
          <w:szCs w:val="28"/>
        </w:rPr>
      </w:pPr>
      <w:r>
        <w:rPr>
          <w:rFonts w:ascii="宋体" w:hAnsi="宋体" w:eastAsia="宋体" w:cs="宋体"/>
          <w:sz w:val="28"/>
          <w:szCs w:val="28"/>
        </w:rPr>
        <w:t xml:space="preserve">[中图分类号]R622 [文献标志码]A [文章编号]1008-6455（2022）10-0117-05 </w:t>
      </w:r>
    </w:p>
    <w:p>
      <w:pPr>
        <w:numPr>
          <w:numId w:val="0"/>
        </w:numPr>
        <w:rPr>
          <w:rFonts w:ascii="宋体" w:hAnsi="宋体" w:eastAsia="宋体" w:cs="宋体"/>
          <w:sz w:val="28"/>
          <w:szCs w:val="28"/>
        </w:rPr>
      </w:pPr>
    </w:p>
    <w:p>
      <w:pPr>
        <w:numPr>
          <w:numId w:val="0"/>
        </w:numPr>
        <w:rPr>
          <w:rFonts w:ascii="宋体" w:hAnsi="宋体" w:eastAsia="宋体" w:cs="宋体"/>
          <w:sz w:val="28"/>
          <w:szCs w:val="28"/>
        </w:rPr>
      </w:pPr>
      <w:r>
        <w:rPr>
          <w:rFonts w:ascii="宋体" w:hAnsi="宋体" w:eastAsia="宋体" w:cs="宋体"/>
          <w:sz w:val="28"/>
          <w:szCs w:val="28"/>
        </w:rPr>
        <w:t>Study on the Protective Effect of Botulinum Toxin A on Rat Skin Flap Ischemia</w:t>
      </w:r>
      <w:r>
        <w:rPr>
          <w:rFonts w:ascii="宋体" w:hAnsi="宋体" w:eastAsia="宋体" w:cs="宋体"/>
          <w:sz w:val="28"/>
          <w:szCs w:val="28"/>
        </w:rPr>
        <w:t/>
      </w:r>
      <w:r>
        <w:rPr>
          <w:rFonts w:ascii="宋体" w:hAnsi="宋体" w:eastAsia="宋体" w:cs="宋体"/>
          <w:sz w:val="28"/>
          <w:szCs w:val="28"/>
        </w:rPr>
        <w:t xml:space="preserve">reperfusion Injury Through Autophagy Pathway </w:t>
      </w:r>
    </w:p>
    <w:p>
      <w:pPr>
        <w:numPr>
          <w:numId w:val="0"/>
        </w:numPr>
        <w:rPr>
          <w:rFonts w:ascii="宋体" w:hAnsi="宋体" w:eastAsia="宋体" w:cs="宋体"/>
          <w:sz w:val="28"/>
          <w:szCs w:val="28"/>
        </w:rPr>
      </w:pPr>
    </w:p>
    <w:p>
      <w:pPr>
        <w:numPr>
          <w:numId w:val="0"/>
        </w:numPr>
        <w:rPr>
          <w:rFonts w:ascii="宋体" w:hAnsi="宋体" w:eastAsia="宋体" w:cs="宋体"/>
          <w:sz w:val="28"/>
          <w:szCs w:val="28"/>
        </w:rPr>
      </w:pPr>
      <w:r>
        <w:rPr>
          <w:rFonts w:ascii="宋体" w:hAnsi="宋体" w:eastAsia="宋体" w:cs="宋体"/>
          <w:sz w:val="28"/>
          <w:szCs w:val="28"/>
        </w:rPr>
        <w:t xml:space="preserve">CUI Chao1 ,ZHANG Shan2 ,LIN Huang3 </w:t>
      </w:r>
    </w:p>
    <w:p>
      <w:pPr>
        <w:numPr>
          <w:numId w:val="0"/>
        </w:numPr>
        <w:rPr>
          <w:rFonts w:ascii="宋体" w:hAnsi="宋体" w:eastAsia="宋体" w:cs="宋体"/>
          <w:sz w:val="28"/>
          <w:szCs w:val="28"/>
        </w:rPr>
      </w:pPr>
    </w:p>
    <w:p>
      <w:pPr>
        <w:numPr>
          <w:ilvl w:val="0"/>
          <w:numId w:val="2"/>
        </w:numPr>
        <w:rPr>
          <w:rFonts w:ascii="宋体" w:hAnsi="宋体" w:eastAsia="宋体" w:cs="宋体"/>
          <w:sz w:val="28"/>
          <w:szCs w:val="28"/>
        </w:rPr>
      </w:pPr>
      <w:r>
        <w:rPr>
          <w:rFonts w:ascii="宋体" w:hAnsi="宋体" w:eastAsia="宋体" w:cs="宋体"/>
          <w:sz w:val="28"/>
          <w:szCs w:val="28"/>
        </w:rPr>
        <w:t>D</w:t>
      </w:r>
      <w:bookmarkStart w:id="0" w:name="_GoBack"/>
      <w:bookmarkEnd w:id="0"/>
      <w:r>
        <w:rPr>
          <w:rFonts w:ascii="宋体" w:hAnsi="宋体" w:eastAsia="宋体" w:cs="宋体"/>
          <w:sz w:val="28"/>
          <w:szCs w:val="28"/>
        </w:rPr>
        <w:t>epartment of Emergency,Beijing Huairou Hospital,Beijing 100014,China; 2.Department of Oncology,Beijing Huairou Hospital,Beijing 100014,China; 3.Department of Plastic Surgery,Beijing Anzhen Hospital,Capital Medical University,Beijing 100029,China)</w:t>
      </w:r>
    </w:p>
    <w:p>
      <w:pPr>
        <w:numPr>
          <w:numId w:val="0"/>
        </w:numPr>
        <w:rPr>
          <w:rFonts w:ascii="宋体" w:hAnsi="宋体" w:eastAsia="宋体" w:cs="宋体"/>
          <w:sz w:val="28"/>
          <w:szCs w:val="28"/>
        </w:rPr>
      </w:pPr>
    </w:p>
    <w:p>
      <w:pPr>
        <w:numPr>
          <w:numId w:val="0"/>
        </w:numPr>
        <w:rPr>
          <w:rFonts w:ascii="宋体" w:hAnsi="宋体" w:eastAsia="宋体" w:cs="宋体"/>
          <w:sz w:val="28"/>
          <w:szCs w:val="28"/>
        </w:rPr>
      </w:pPr>
      <w:r>
        <w:rPr>
          <w:rFonts w:ascii="宋体" w:hAnsi="宋体" w:eastAsia="宋体" w:cs="宋体"/>
          <w:sz w:val="28"/>
          <w:szCs w:val="28"/>
        </w:rPr>
        <w:t xml:space="preserve">Abstract: Objective To explore the relationship between the protective mechanism of BTX-A on ischemia-reperfusion of rat skin flaps and autophagy, in order to provide a new target for improving the survival rate of skin flaps. Methods Rats were divided randomly into four groups: sham-operated group, I/R group, BTX-A+I/R group and BTX-A+I/R+3-MA group. Abdominal skin fl aps of rats were elevated and ischemia was induced for 8 h. BTX-A or 0.9% saline was administered on the subdermal layer near the pedicle 7 days before surgery. BTX-A+I/R+3-MA group was given by intraperitoneal injection 20 min before reperfusion. On the 7th day after surgery, fl ap survival was evaluated. The number of blood vessels was detected by HE staining. Immunohistochemical staining was used to evaluate the expression level of CD34 and LC3. The number of apoptotic cells was texted by tunel staining. Results Survival area of skin fl ap of BTX-A+I/R group was larger than I/R group. Compared with I/R group, BTX-A+I/R group reduced skin fl ap necrosis, increased angiogenesis, increased LC3 expression and inhibited cell apoptosis. 3-MA treatment could inhibit protection of BTX-A to fl ap. Conclusion BTX-A protects skin fl ap from ischemia-reperfusion injury by enhancing autophagy. This study provides a new theoretical method to improve the success rate of skin fl ap transplantation. </w:t>
      </w:r>
    </w:p>
    <w:p>
      <w:pPr>
        <w:numPr>
          <w:numId w:val="0"/>
        </w:numPr>
        <w:rPr>
          <w:rFonts w:ascii="宋体" w:hAnsi="宋体" w:eastAsia="宋体" w:cs="宋体"/>
          <w:sz w:val="28"/>
          <w:szCs w:val="28"/>
        </w:rPr>
      </w:pPr>
    </w:p>
    <w:p>
      <w:pPr>
        <w:numPr>
          <w:numId w:val="0"/>
        </w:numPr>
        <w:rPr>
          <w:rFonts w:hint="eastAsia"/>
          <w:sz w:val="28"/>
          <w:szCs w:val="28"/>
          <w:lang w:val="en-US" w:eastAsia="zh-CN"/>
        </w:rPr>
      </w:pPr>
      <w:r>
        <w:rPr>
          <w:rFonts w:ascii="宋体" w:hAnsi="宋体" w:eastAsia="宋体" w:cs="宋体"/>
          <w:sz w:val="28"/>
          <w:szCs w:val="28"/>
        </w:rPr>
        <w:t>Key words: botulinum toxin A; ischemia-reperfusion injury; skin fl ap; autophagy; apoptosis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A42D3F"/>
    <w:multiLevelType w:val="singleLevel"/>
    <w:tmpl w:val="A1A42D3F"/>
    <w:lvl w:ilvl="0" w:tentative="0">
      <w:start w:val="1"/>
      <w:numFmt w:val="decimal"/>
      <w:lvlText w:val="（%1."/>
      <w:lvlJc w:val="left"/>
      <w:pPr>
        <w:tabs>
          <w:tab w:val="left" w:pos="312"/>
        </w:tabs>
      </w:pPr>
    </w:lvl>
  </w:abstractNum>
  <w:abstractNum w:abstractNumId="1">
    <w:nsid w:val="E1F6940F"/>
    <w:multiLevelType w:val="singleLevel"/>
    <w:tmpl w:val="E1F6940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A924284"/>
    <w:rsid w:val="2B88437A"/>
    <w:rsid w:val="2CF44533"/>
    <w:rsid w:val="2D045C82"/>
    <w:rsid w:val="2D614E83"/>
    <w:rsid w:val="2D6D3827"/>
    <w:rsid w:val="2DAD4439"/>
    <w:rsid w:val="2ED27DE6"/>
    <w:rsid w:val="2F6D5043"/>
    <w:rsid w:val="30A752A2"/>
    <w:rsid w:val="31883701"/>
    <w:rsid w:val="31A16091"/>
    <w:rsid w:val="31EA18EB"/>
    <w:rsid w:val="322B5C69"/>
    <w:rsid w:val="32382656"/>
    <w:rsid w:val="32461E7F"/>
    <w:rsid w:val="34014CC9"/>
    <w:rsid w:val="34453929"/>
    <w:rsid w:val="34D66156"/>
    <w:rsid w:val="34F12F90"/>
    <w:rsid w:val="35812566"/>
    <w:rsid w:val="36E44B5A"/>
    <w:rsid w:val="371A4544"/>
    <w:rsid w:val="379245B6"/>
    <w:rsid w:val="38613F89"/>
    <w:rsid w:val="3B071141"/>
    <w:rsid w:val="3BDA477E"/>
    <w:rsid w:val="3C1E28BD"/>
    <w:rsid w:val="3C221C81"/>
    <w:rsid w:val="3C2D0D52"/>
    <w:rsid w:val="3C5C5193"/>
    <w:rsid w:val="3C5E0F0B"/>
    <w:rsid w:val="3CFF18FE"/>
    <w:rsid w:val="3DFD4754"/>
    <w:rsid w:val="3E014244"/>
    <w:rsid w:val="3E371A14"/>
    <w:rsid w:val="3EAB2402"/>
    <w:rsid w:val="40476583"/>
    <w:rsid w:val="406620BE"/>
    <w:rsid w:val="407E7DCE"/>
    <w:rsid w:val="40C477AB"/>
    <w:rsid w:val="40CD2B03"/>
    <w:rsid w:val="41913D50"/>
    <w:rsid w:val="423C1CEE"/>
    <w:rsid w:val="426C1EA8"/>
    <w:rsid w:val="42E61C5A"/>
    <w:rsid w:val="439B2A45"/>
    <w:rsid w:val="43B9736F"/>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871FAE"/>
    <w:rsid w:val="786F17CF"/>
    <w:rsid w:val="788D60F9"/>
    <w:rsid w:val="789631FF"/>
    <w:rsid w:val="78BD69DE"/>
    <w:rsid w:val="7A044199"/>
    <w:rsid w:val="7AA5597C"/>
    <w:rsid w:val="7AB94F83"/>
    <w:rsid w:val="7AC53AF9"/>
    <w:rsid w:val="7B29035B"/>
    <w:rsid w:val="7B3D7962"/>
    <w:rsid w:val="7BD1454E"/>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626</Words>
  <Characters>1852</Characters>
  <Lines>8</Lines>
  <Paragraphs>2</Paragraphs>
  <TotalTime>260</TotalTime>
  <ScaleCrop>false</ScaleCrop>
  <LinksUpToDate>false</LinksUpToDate>
  <CharactersWithSpaces>2101</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2022-10-24T02:25:04Z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489711634ADF4131B054904A1A208ED9</vt:lpwstr>
  </property>
</Properties>
</file>