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A92DB" w14:textId="77777777" w:rsidR="00182443" w:rsidRDefault="00182443" w:rsidP="00182443">
      <w:r>
        <w:t>高转矩自锁托槽矫治双颌前突的疗效及对牙根形态及根尖外吸收的影响分析</w:t>
      </w:r>
      <w:r>
        <w:t xml:space="preserve"> </w:t>
      </w:r>
    </w:p>
    <w:p w14:paraId="5B205617" w14:textId="77777777" w:rsidR="00182443" w:rsidRDefault="00182443" w:rsidP="00182443"/>
    <w:p w14:paraId="7559A198" w14:textId="77777777" w:rsidR="00182443" w:rsidRDefault="00182443" w:rsidP="00182443">
      <w:r>
        <w:t>肖子轶，罗</w:t>
      </w:r>
      <w:r>
        <w:t xml:space="preserve"> </w:t>
      </w:r>
      <w:r>
        <w:t>芬，李</w:t>
      </w:r>
      <w:r>
        <w:t xml:space="preserve"> </w:t>
      </w:r>
      <w:proofErr w:type="gramStart"/>
      <w:r>
        <w:t>婧</w:t>
      </w:r>
      <w:proofErr w:type="gramEnd"/>
      <w:r>
        <w:t>，刘</w:t>
      </w:r>
      <w:r>
        <w:t xml:space="preserve"> </w:t>
      </w:r>
      <w:r>
        <w:t>帆</w:t>
      </w:r>
      <w:r>
        <w:t xml:space="preserve"> </w:t>
      </w:r>
    </w:p>
    <w:p w14:paraId="346CF14A" w14:textId="77777777" w:rsidR="00182443" w:rsidRDefault="00182443" w:rsidP="00182443"/>
    <w:p w14:paraId="060CC924" w14:textId="0A99415B" w:rsidR="00182443" w:rsidRDefault="00182443" w:rsidP="00182443">
      <w:r>
        <w:t>(</w:t>
      </w:r>
      <w:r>
        <w:t>长沙市口腔医院五</w:t>
      </w:r>
      <w:proofErr w:type="gramStart"/>
      <w:r>
        <w:t>一路院</w:t>
      </w:r>
      <w:proofErr w:type="gramEnd"/>
      <w:r>
        <w:t>正畸科</w:t>
      </w:r>
      <w:r>
        <w:t xml:space="preserve"> </w:t>
      </w:r>
      <w:r>
        <w:t>湖南</w:t>
      </w:r>
      <w:r>
        <w:t xml:space="preserve"> </w:t>
      </w:r>
      <w:r>
        <w:t>长沙</w:t>
      </w:r>
      <w:r>
        <w:t xml:space="preserve"> 410005) </w:t>
      </w:r>
    </w:p>
    <w:p w14:paraId="49AAABA0" w14:textId="77777777" w:rsidR="00182443" w:rsidRDefault="00182443" w:rsidP="00182443"/>
    <w:p w14:paraId="63227FB8" w14:textId="77777777" w:rsidR="00182443" w:rsidRDefault="00182443" w:rsidP="00182443">
      <w:r>
        <w:t>[</w:t>
      </w:r>
      <w:r>
        <w:t>摘要</w:t>
      </w:r>
      <w:r>
        <w:t>]</w:t>
      </w:r>
      <w:r>
        <w:t>目的：研究高转矩自锁托槽用于双颌前突的正畸效果，以及对牙根形态及根尖外吸收的影响。方法：纳入</w:t>
      </w:r>
      <w:r>
        <w:t>2018</w:t>
      </w:r>
      <w:r>
        <w:t>年</w:t>
      </w:r>
      <w:r>
        <w:t xml:space="preserve">1 </w:t>
      </w:r>
      <w:r>
        <w:t>月</w:t>
      </w:r>
      <w:r>
        <w:t>-2022</w:t>
      </w:r>
      <w:r>
        <w:t>年</w:t>
      </w:r>
      <w:r>
        <w:t>1</w:t>
      </w:r>
      <w:r>
        <w:t>月笔者医院收治的</w:t>
      </w:r>
      <w:r>
        <w:t>96</w:t>
      </w:r>
      <w:r>
        <w:t>例双颌前突患者为研究对象，按照随机数字表法分为观察组和对照组，每组</w:t>
      </w:r>
      <w:r>
        <w:t>48</w:t>
      </w:r>
      <w:r>
        <w:t>例。观察组</w:t>
      </w:r>
      <w:r>
        <w:t xml:space="preserve"> </w:t>
      </w:r>
      <w:r>
        <w:t>采用</w:t>
      </w:r>
      <w:r>
        <w:t>Damon-Q</w:t>
      </w:r>
      <w:r>
        <w:t>金属高转矩自锁托槽进行系统矫治，对照组采用传统</w:t>
      </w:r>
      <w:proofErr w:type="gramStart"/>
      <w:r>
        <w:t>直丝弓金属</w:t>
      </w:r>
      <w:proofErr w:type="gramEnd"/>
      <w:r>
        <w:t>托槽。比较两组矫治前后牙菌斑指数及牙周袋</w:t>
      </w:r>
      <w:r>
        <w:t xml:space="preserve"> </w:t>
      </w:r>
      <w:r>
        <w:t>深度，检测两组矫治前后龈沟液炎症因子</w:t>
      </w:r>
      <w:r>
        <w:t>[</w:t>
      </w:r>
      <w:r>
        <w:t>白介素</w:t>
      </w:r>
      <w:r>
        <w:t>-1β</w:t>
      </w:r>
      <w:r>
        <w:t>（</w:t>
      </w:r>
      <w:r>
        <w:t>Interleukin-1β,IL-1β</w:t>
      </w:r>
      <w:r>
        <w:t>）、肿瘤坏死因子</w:t>
      </w:r>
      <w:r>
        <w:t>-α</w:t>
      </w:r>
      <w:r>
        <w:t>（</w:t>
      </w:r>
      <w:r>
        <w:t>Tumor necrosis factor-α,TNF-α</w:t>
      </w:r>
      <w:r>
        <w:t>）</w:t>
      </w:r>
      <w:r>
        <w:t>]</w:t>
      </w:r>
      <w:r>
        <w:t>水平；通过锥形束</w:t>
      </w:r>
      <w:r>
        <w:t>CT</w:t>
      </w:r>
      <w:r>
        <w:t>影像测量，比较两组矫治后根尖外吸收量、矫治前后尖牙间宽度、第一前磨牙间</w:t>
      </w:r>
      <w:r>
        <w:t xml:space="preserve"> </w:t>
      </w:r>
      <w:r>
        <w:t>宽度、第二前磨牙间宽度及前牙凸度，比较两组矫正前后舌骨位置变化。结果：两组矫治后</w:t>
      </w:r>
      <w:r>
        <w:t>3</w:t>
      </w:r>
      <w:r>
        <w:t>个月牙菌斑指数、牙周袋深度</w:t>
      </w:r>
      <w:r>
        <w:t xml:space="preserve"> </w:t>
      </w:r>
      <w:r>
        <w:t>均显著高于矫治前，矫治后</w:t>
      </w:r>
      <w:r>
        <w:t>6</w:t>
      </w:r>
      <w:r>
        <w:t>个月牙菌斑指数、牙周袋深度均显著高于矫治前及矫治后</w:t>
      </w:r>
      <w:r>
        <w:t>3</w:t>
      </w:r>
      <w:r>
        <w:t>个月；观察组矫治后</w:t>
      </w:r>
      <w:r>
        <w:t>3</w:t>
      </w:r>
      <w:r>
        <w:t>、</w:t>
      </w:r>
      <w:r>
        <w:t>6</w:t>
      </w:r>
      <w:r>
        <w:t>个月，</w:t>
      </w:r>
      <w:proofErr w:type="gramStart"/>
      <w:r>
        <w:t>牙菌</w:t>
      </w:r>
      <w:proofErr w:type="gramEnd"/>
      <w:r>
        <w:t xml:space="preserve"> </w:t>
      </w:r>
      <w:r>
        <w:t>斑指数、牙周袋深度均显著低于对照组，差异有统计学意义（</w:t>
      </w:r>
      <w:r>
        <w:t>P</w:t>
      </w:r>
      <w:r>
        <w:t>＜</w:t>
      </w:r>
      <w:r>
        <w:t>0.05</w:t>
      </w:r>
      <w:r>
        <w:t>）。两组矫治后</w:t>
      </w:r>
      <w:r>
        <w:t>6</w:t>
      </w:r>
      <w:r>
        <w:t>个月</w:t>
      </w:r>
      <w:r>
        <w:t>IL-1β</w:t>
      </w:r>
      <w:r>
        <w:t>、</w:t>
      </w:r>
      <w:r>
        <w:t>TNF-α</w:t>
      </w:r>
      <w:r>
        <w:t>水平均显著高</w:t>
      </w:r>
      <w:r>
        <w:t xml:space="preserve"> </w:t>
      </w:r>
      <w:r>
        <w:t>于矫治前，且观察组</w:t>
      </w:r>
      <w:r>
        <w:t>IL-1β</w:t>
      </w:r>
      <w:r>
        <w:t>、</w:t>
      </w:r>
      <w:r>
        <w:t>TNF-α</w:t>
      </w:r>
      <w:r>
        <w:t>水平均显著低于对照组，差异有统计学意义（</w:t>
      </w:r>
      <w:r>
        <w:t>P</w:t>
      </w:r>
      <w:r>
        <w:t>＜</w:t>
      </w:r>
      <w:r>
        <w:t>0.05</w:t>
      </w:r>
      <w:r>
        <w:t>）。矫治后，</w:t>
      </w:r>
      <w:proofErr w:type="gramStart"/>
      <w:r>
        <w:t>观察组右上颌</w:t>
      </w:r>
      <w:proofErr w:type="gramEnd"/>
      <w:r>
        <w:t>中切</w:t>
      </w:r>
      <w:r>
        <w:t xml:space="preserve"> </w:t>
      </w:r>
      <w:r>
        <w:t>牙、左上侧中切牙、右上颌侧切牙、左上颌侧切牙根尖外吸收量均低于对照组（</w:t>
      </w:r>
      <w:r>
        <w:t>P</w:t>
      </w:r>
      <w:r>
        <w:t>＜</w:t>
      </w:r>
      <w:r>
        <w:t>0.05</w:t>
      </w:r>
      <w:r>
        <w:t>）；两组矫治后</w:t>
      </w:r>
      <w:r>
        <w:t>6</w:t>
      </w:r>
      <w:r>
        <w:t>个月第一前磨牙间</w:t>
      </w:r>
      <w:r>
        <w:t xml:space="preserve"> </w:t>
      </w:r>
      <w:r>
        <w:t>宽度、第二前磨牙间宽度、前牙凸度显著高于矫治前，且观察组数据显著高于对照组，差异均有统计学意义（</w:t>
      </w:r>
      <w:r>
        <w:t>P</w:t>
      </w:r>
      <w:r>
        <w:t>＜</w:t>
      </w:r>
      <w:r>
        <w:t>0.05</w:t>
      </w:r>
      <w:r>
        <w:t>）。</w:t>
      </w:r>
      <w:r>
        <w:t xml:space="preserve"> </w:t>
      </w:r>
      <w:r>
        <w:t>两组矫治后舌骨垂直向距离较矫正前显著增加，水平向距离显著减小，观察组矫治后舌骨垂直向距离显著大于对照组，差异</w:t>
      </w:r>
      <w:r>
        <w:t xml:space="preserve"> </w:t>
      </w:r>
      <w:r>
        <w:t>均有统计学意义（</w:t>
      </w:r>
      <w:r>
        <w:t>P</w:t>
      </w:r>
      <w:r>
        <w:t>＜</w:t>
      </w:r>
      <w:r>
        <w:t>0.05</w:t>
      </w:r>
      <w:r>
        <w:t>）。结论：高转矩自锁托槽矫治双颌前突的效果显著，且在减轻根尖外吸收发生风险方面具有</w:t>
      </w:r>
      <w:proofErr w:type="gramStart"/>
      <w:r>
        <w:t>一</w:t>
      </w:r>
      <w:proofErr w:type="gramEnd"/>
      <w:r>
        <w:t xml:space="preserve"> </w:t>
      </w:r>
      <w:r>
        <w:t>定优势。</w:t>
      </w:r>
      <w:r>
        <w:t xml:space="preserve"> </w:t>
      </w:r>
    </w:p>
    <w:p w14:paraId="0A0A037B" w14:textId="77777777" w:rsidR="00182443" w:rsidRDefault="00182443" w:rsidP="00182443"/>
    <w:p w14:paraId="16149BFE" w14:textId="77777777" w:rsidR="00182443" w:rsidRDefault="00182443" w:rsidP="00182443">
      <w:r>
        <w:t>[</w:t>
      </w:r>
      <w:r>
        <w:t>关键词</w:t>
      </w:r>
      <w:r>
        <w:t>]</w:t>
      </w:r>
      <w:r>
        <w:t>高转矩；自锁托槽；双颌前突；正畸；牙根形态；根尖外吸收</w:t>
      </w:r>
      <w:r>
        <w:t xml:space="preserve"> </w:t>
      </w:r>
    </w:p>
    <w:p w14:paraId="3AC997A6" w14:textId="77777777" w:rsidR="00182443" w:rsidRDefault="00182443" w:rsidP="00182443"/>
    <w:p w14:paraId="123F4ACF" w14:textId="2FB12AF4" w:rsidR="00182443" w:rsidRDefault="00182443" w:rsidP="00182443">
      <w:r>
        <w:t>[</w:t>
      </w:r>
      <w:r>
        <w:t>中图分类号</w:t>
      </w:r>
      <w:r>
        <w:t>]R783.5 [</w:t>
      </w:r>
      <w:r>
        <w:t>文献标志码</w:t>
      </w:r>
      <w:r>
        <w:t>]A [</w:t>
      </w:r>
      <w:r>
        <w:t>文章编号</w:t>
      </w:r>
      <w:r>
        <w:t>]1008-6455</w:t>
      </w:r>
      <w:r>
        <w:t>（</w:t>
      </w:r>
      <w:r>
        <w:t>2023</w:t>
      </w:r>
      <w:r>
        <w:t>）</w:t>
      </w:r>
      <w:r>
        <w:t xml:space="preserve">04-0151-05 </w:t>
      </w:r>
    </w:p>
    <w:p w14:paraId="3C5DBCFE" w14:textId="77777777" w:rsidR="00182443" w:rsidRDefault="00182443" w:rsidP="00182443"/>
    <w:p w14:paraId="01CC9045" w14:textId="77777777" w:rsidR="00182443" w:rsidRDefault="00182443" w:rsidP="00182443">
      <w:r>
        <w:t xml:space="preserve">Analysis of the Effect of High Torque Self-locking Bracket in the Treatment of Bimaxillary Protrusion and Its </w:t>
      </w:r>
      <w:proofErr w:type="spellStart"/>
      <w:r>
        <w:t>Infl</w:t>
      </w:r>
      <w:proofErr w:type="spellEnd"/>
      <w:r>
        <w:t xml:space="preserve"> </w:t>
      </w:r>
      <w:proofErr w:type="spellStart"/>
      <w:r>
        <w:t>uence</w:t>
      </w:r>
      <w:proofErr w:type="spellEnd"/>
      <w:r>
        <w:t xml:space="preserve"> on Root Morphology and External Apical Root Resorption </w:t>
      </w:r>
    </w:p>
    <w:p w14:paraId="3AD2DBBC" w14:textId="77777777" w:rsidR="00182443" w:rsidRDefault="00182443" w:rsidP="00182443"/>
    <w:p w14:paraId="675AB798" w14:textId="1FC745F0" w:rsidR="00182443" w:rsidRDefault="00182443" w:rsidP="00182443">
      <w:r>
        <w:t xml:space="preserve">XIAO </w:t>
      </w:r>
      <w:proofErr w:type="spellStart"/>
      <w:proofErr w:type="gramStart"/>
      <w:r>
        <w:t>Ziyi,LUO</w:t>
      </w:r>
      <w:proofErr w:type="spellEnd"/>
      <w:proofErr w:type="gramEnd"/>
      <w:r>
        <w:t xml:space="preserve"> </w:t>
      </w:r>
      <w:proofErr w:type="spellStart"/>
      <w:r>
        <w:t>Fen,LI</w:t>
      </w:r>
      <w:proofErr w:type="spellEnd"/>
      <w:r>
        <w:t xml:space="preserve"> </w:t>
      </w:r>
      <w:proofErr w:type="spellStart"/>
      <w:r>
        <w:t>Jing,LIU</w:t>
      </w:r>
      <w:proofErr w:type="spellEnd"/>
      <w:r>
        <w:t xml:space="preserve"> Fan </w:t>
      </w:r>
    </w:p>
    <w:p w14:paraId="6DAD89E8" w14:textId="77777777" w:rsidR="00182443" w:rsidRDefault="00182443" w:rsidP="00182443"/>
    <w:p w14:paraId="1B910376" w14:textId="1E4239BB" w:rsidR="00B933C7" w:rsidRDefault="00182443" w:rsidP="00182443">
      <w:r>
        <w:t xml:space="preserve">(Department of </w:t>
      </w:r>
      <w:proofErr w:type="spellStart"/>
      <w:proofErr w:type="gramStart"/>
      <w:r>
        <w:t>Orthodontics,Wuyi</w:t>
      </w:r>
      <w:proofErr w:type="spellEnd"/>
      <w:proofErr w:type="gramEnd"/>
      <w:r>
        <w:t xml:space="preserve"> </w:t>
      </w:r>
      <w:proofErr w:type="spellStart"/>
      <w:r>
        <w:t>Hospital,Changsha</w:t>
      </w:r>
      <w:proofErr w:type="spellEnd"/>
      <w:r>
        <w:t xml:space="preserve"> </w:t>
      </w:r>
      <w:proofErr w:type="spellStart"/>
      <w:r>
        <w:t>Stomatological</w:t>
      </w:r>
      <w:proofErr w:type="spellEnd"/>
      <w:r>
        <w:t xml:space="preserve"> </w:t>
      </w:r>
      <w:proofErr w:type="spellStart"/>
      <w:r>
        <w:t>Hospital,Changsha</w:t>
      </w:r>
      <w:proofErr w:type="spellEnd"/>
      <w:r>
        <w:t xml:space="preserve"> 410005,Hunan,China)</w:t>
      </w:r>
    </w:p>
    <w:p w14:paraId="2AFB5314" w14:textId="77777777" w:rsidR="00182443" w:rsidRDefault="00182443" w:rsidP="00182443"/>
    <w:p w14:paraId="7C900883" w14:textId="77777777" w:rsidR="00182443" w:rsidRDefault="00182443" w:rsidP="00182443">
      <w:r>
        <w:t xml:space="preserve">Abstract: Objective To study the orthodontic eff </w:t>
      </w:r>
      <w:proofErr w:type="spellStart"/>
      <w:r>
        <w:t>ect</w:t>
      </w:r>
      <w:proofErr w:type="spellEnd"/>
      <w:r>
        <w:t xml:space="preserve">, root morphology and external apical root resorption of high torque </w:t>
      </w:r>
      <w:proofErr w:type="spellStart"/>
      <w:r>
        <w:t>self</w:t>
      </w:r>
      <w:r>
        <w:t>locking</w:t>
      </w:r>
      <w:proofErr w:type="spellEnd"/>
      <w:r>
        <w:t xml:space="preserve"> brackets used in bimaxillary protrusion. Methods 96 patients with bimaxillary protrusion treated from January 2018 to January 2022 were included as the research objects. They were divided into two groups according to the random number table method, with 48 cases in each group. The observation group was treated with </w:t>
      </w:r>
      <w:proofErr w:type="spellStart"/>
      <w:r>
        <w:t>damon</w:t>
      </w:r>
      <w:proofErr w:type="spellEnd"/>
      <w:r>
        <w:t xml:space="preserve">-Q metal high torque self-locking bracket, and the control group was treated with traditional straight wire mental </w:t>
      </w:r>
      <w:proofErr w:type="spellStart"/>
      <w:proofErr w:type="gramStart"/>
      <w:r>
        <w:t>bracket.Plaque</w:t>
      </w:r>
      <w:proofErr w:type="spellEnd"/>
      <w:proofErr w:type="gramEnd"/>
      <w:r>
        <w:t xml:space="preserve"> index and periodontal pocket depth were compared between the two groups </w:t>
      </w:r>
      <w:r>
        <w:lastRenderedPageBreak/>
        <w:t xml:space="preserve">before and after treatment. Gingival crevicular </w:t>
      </w:r>
      <w:proofErr w:type="spellStart"/>
      <w:r>
        <w:t>fl</w:t>
      </w:r>
      <w:proofErr w:type="spellEnd"/>
      <w:r>
        <w:t xml:space="preserve"> </w:t>
      </w:r>
      <w:proofErr w:type="spellStart"/>
      <w:r>
        <w:t>uid</w:t>
      </w:r>
      <w:proofErr w:type="spellEnd"/>
      <w:r>
        <w:t xml:space="preserve"> </w:t>
      </w:r>
      <w:proofErr w:type="spellStart"/>
      <w:r>
        <w:t>infl</w:t>
      </w:r>
      <w:proofErr w:type="spellEnd"/>
      <w:r>
        <w:t xml:space="preserve"> </w:t>
      </w:r>
      <w:proofErr w:type="spellStart"/>
      <w:r>
        <w:t>ammatory</w:t>
      </w:r>
      <w:proofErr w:type="spellEnd"/>
      <w:r>
        <w:t xml:space="preserve"> factor was measured before and after correction in the two groups IL-1β and TNF-α level, measure and compare the external apical root resorption, inter canine width, inter molar width of the fi </w:t>
      </w:r>
      <w:proofErr w:type="spellStart"/>
      <w:r>
        <w:t>rst</w:t>
      </w:r>
      <w:proofErr w:type="spellEnd"/>
      <w:r>
        <w:t xml:space="preserve"> </w:t>
      </w:r>
      <w:proofErr w:type="spellStart"/>
      <w:proofErr w:type="gramStart"/>
      <w:r>
        <w:t>premolar,inter</w:t>
      </w:r>
      <w:proofErr w:type="spellEnd"/>
      <w:proofErr w:type="gramEnd"/>
      <w:r>
        <w:t xml:space="preserve"> molar width of the second premolar and anterior tooth convexity between the two groups after correction by cone beam CT </w:t>
      </w:r>
      <w:proofErr w:type="spellStart"/>
      <w:r>
        <w:t>image.Compaird</w:t>
      </w:r>
      <w:proofErr w:type="spellEnd"/>
      <w:r>
        <w:t xml:space="preserve"> the hyoid position before and after correction between the two groups. Results The plaque index and periodontal pocket depth of the two groups at 3 months after treatment were significantly higher than those before </w:t>
      </w:r>
      <w:proofErr w:type="gramStart"/>
      <w:r>
        <w:t>treatment ,</w:t>
      </w:r>
      <w:proofErr w:type="gramEnd"/>
      <w:r>
        <w:t xml:space="preserve"> and the plaque index and periodontal pocket depth at 6 months after treatment were </w:t>
      </w:r>
      <w:proofErr w:type="spellStart"/>
      <w:r>
        <w:t>signifi</w:t>
      </w:r>
      <w:proofErr w:type="spellEnd"/>
      <w:r>
        <w:t xml:space="preserve"> </w:t>
      </w:r>
      <w:proofErr w:type="spellStart"/>
      <w:r>
        <w:t>cantly</w:t>
      </w:r>
      <w:proofErr w:type="spellEnd"/>
      <w:r>
        <w:t xml:space="preserve"> higher than those before and 3 months after treatment. The plaque index and periodontal pocket depth of the observation group at 3 and 6 months after correction were </w:t>
      </w:r>
      <w:proofErr w:type="spellStart"/>
      <w:r>
        <w:t>signifi</w:t>
      </w:r>
      <w:proofErr w:type="spellEnd"/>
      <w:r>
        <w:t xml:space="preserve"> </w:t>
      </w:r>
      <w:proofErr w:type="spellStart"/>
      <w:r>
        <w:t>cantly</w:t>
      </w:r>
      <w:proofErr w:type="spellEnd"/>
      <w:r>
        <w:t xml:space="preserve"> lower than those of the control </w:t>
      </w:r>
      <w:proofErr w:type="spellStart"/>
      <w:r>
        <w:t>group,the</w:t>
      </w:r>
      <w:proofErr w:type="spellEnd"/>
      <w:r>
        <w:t xml:space="preserve"> diff </w:t>
      </w:r>
      <w:proofErr w:type="spellStart"/>
      <w:r>
        <w:t>erences</w:t>
      </w:r>
      <w:proofErr w:type="spellEnd"/>
      <w:r>
        <w:t xml:space="preserve"> were statistically </w:t>
      </w:r>
      <w:proofErr w:type="spellStart"/>
      <w:r>
        <w:t>signifi</w:t>
      </w:r>
      <w:proofErr w:type="spellEnd"/>
      <w:r>
        <w:t xml:space="preserve"> cant (P</w:t>
      </w:r>
      <w:r>
        <w:t>＜</w:t>
      </w:r>
      <w:r>
        <w:t xml:space="preserve">0.05).The levels of IL-1β and TNF-α in the two groups after 6 months of correction were </w:t>
      </w:r>
      <w:proofErr w:type="spellStart"/>
      <w:r>
        <w:t>signifi</w:t>
      </w:r>
      <w:proofErr w:type="spellEnd"/>
      <w:r>
        <w:t xml:space="preserve"> </w:t>
      </w:r>
      <w:proofErr w:type="spellStart"/>
      <w:r>
        <w:t>cantly</w:t>
      </w:r>
      <w:proofErr w:type="spellEnd"/>
      <w:r>
        <w:t xml:space="preserve"> higher than those before correction ,After 6 months of treatment, the levels of IL-1β and TNF-α in the observation group were </w:t>
      </w:r>
      <w:proofErr w:type="spellStart"/>
      <w:r>
        <w:t>signifi</w:t>
      </w:r>
      <w:proofErr w:type="spellEnd"/>
      <w:r>
        <w:t xml:space="preserve"> </w:t>
      </w:r>
      <w:proofErr w:type="spellStart"/>
      <w:r>
        <w:t>cantly</w:t>
      </w:r>
      <w:proofErr w:type="spellEnd"/>
      <w:r>
        <w:t xml:space="preserve"> lower than those in the control group, the diff </w:t>
      </w:r>
      <w:proofErr w:type="spellStart"/>
      <w:r>
        <w:t>erences</w:t>
      </w:r>
      <w:proofErr w:type="spellEnd"/>
      <w:r>
        <w:t xml:space="preserve"> were statistically </w:t>
      </w:r>
      <w:proofErr w:type="spellStart"/>
      <w:r>
        <w:t>signifi</w:t>
      </w:r>
      <w:proofErr w:type="spellEnd"/>
      <w:r>
        <w:t xml:space="preserve"> cant (P</w:t>
      </w:r>
      <w:r>
        <w:t>＜</w:t>
      </w:r>
      <w:r>
        <w:t>0.05).The external apical root resorption of right maxillary central incisor, left maxillary central incisor, right maxillary lateral incisor and left maxillary lateral incisor in the observation group were lower than those in the control group (P</w:t>
      </w:r>
      <w:r>
        <w:t>＜</w:t>
      </w:r>
      <w:r>
        <w:t xml:space="preserve">0.05). The width between the fi </w:t>
      </w:r>
      <w:proofErr w:type="spellStart"/>
      <w:r>
        <w:t>rst</w:t>
      </w:r>
      <w:proofErr w:type="spellEnd"/>
      <w:r>
        <w:t xml:space="preserve"> premolar, the width between the second premolar, anterior tooth convexity in the two groups were </w:t>
      </w:r>
      <w:proofErr w:type="spellStart"/>
      <w:r>
        <w:t>signifi</w:t>
      </w:r>
      <w:proofErr w:type="spellEnd"/>
      <w:r>
        <w:t xml:space="preserve"> </w:t>
      </w:r>
      <w:proofErr w:type="spellStart"/>
      <w:r>
        <w:t>cantly</w:t>
      </w:r>
      <w:proofErr w:type="spellEnd"/>
      <w:r>
        <w:t xml:space="preserve"> higher than those before correction 6 months after treatment. The width between the fi </w:t>
      </w:r>
      <w:proofErr w:type="spellStart"/>
      <w:r>
        <w:t>rst</w:t>
      </w:r>
      <w:proofErr w:type="spellEnd"/>
      <w:r>
        <w:t xml:space="preserve"> premolar, the width between the second premolar, anterior tooth convexity in the observation group were </w:t>
      </w:r>
      <w:proofErr w:type="spellStart"/>
      <w:r>
        <w:t>signifi</w:t>
      </w:r>
      <w:proofErr w:type="spellEnd"/>
      <w:r>
        <w:t xml:space="preserve"> </w:t>
      </w:r>
      <w:proofErr w:type="spellStart"/>
      <w:r>
        <w:t>cantly</w:t>
      </w:r>
      <w:proofErr w:type="spellEnd"/>
      <w:r>
        <w:t xml:space="preserve"> higher than those in the control group 6 months after correction (P</w:t>
      </w:r>
      <w:r>
        <w:t>＜</w:t>
      </w:r>
      <w:r>
        <w:t xml:space="preserve">0.05). After </w:t>
      </w:r>
      <w:proofErr w:type="spellStart"/>
      <w:r>
        <w:t>correction,the</w:t>
      </w:r>
      <w:proofErr w:type="spellEnd"/>
      <w:r>
        <w:t xml:space="preserve"> vertical distance of hyoid bone was </w:t>
      </w:r>
      <w:proofErr w:type="spellStart"/>
      <w:r>
        <w:t>signifi</w:t>
      </w:r>
      <w:proofErr w:type="spellEnd"/>
      <w:r>
        <w:t xml:space="preserve"> </w:t>
      </w:r>
      <w:proofErr w:type="spellStart"/>
      <w:r>
        <w:t>cantly</w:t>
      </w:r>
      <w:proofErr w:type="spellEnd"/>
      <w:r>
        <w:t xml:space="preserve"> increased and the horizontal distance was </w:t>
      </w:r>
      <w:proofErr w:type="spellStart"/>
      <w:r>
        <w:t>signifi</w:t>
      </w:r>
      <w:proofErr w:type="spellEnd"/>
      <w:r>
        <w:t xml:space="preserve"> </w:t>
      </w:r>
      <w:proofErr w:type="spellStart"/>
      <w:r>
        <w:t>cantly</w:t>
      </w:r>
      <w:proofErr w:type="spellEnd"/>
      <w:r>
        <w:t xml:space="preserve"> reduced in both </w:t>
      </w:r>
      <w:proofErr w:type="spellStart"/>
      <w:r>
        <w:t>groups.After</w:t>
      </w:r>
      <w:proofErr w:type="spellEnd"/>
      <w:r>
        <w:t xml:space="preserve"> </w:t>
      </w:r>
      <w:proofErr w:type="spellStart"/>
      <w:r>
        <w:t>correction,the</w:t>
      </w:r>
      <w:proofErr w:type="spellEnd"/>
      <w:r>
        <w:t xml:space="preserve"> vertical distance of hyoid bone in the observation group was </w:t>
      </w:r>
      <w:proofErr w:type="spellStart"/>
      <w:r>
        <w:t>signifi</w:t>
      </w:r>
      <w:proofErr w:type="spellEnd"/>
      <w:r>
        <w:t xml:space="preserve"> </w:t>
      </w:r>
      <w:proofErr w:type="spellStart"/>
      <w:r>
        <w:t>cantly</w:t>
      </w:r>
      <w:proofErr w:type="spellEnd"/>
      <w:r>
        <w:t xml:space="preserve"> greater than that in the control </w:t>
      </w:r>
      <w:proofErr w:type="spellStart"/>
      <w:r>
        <w:t>group,the</w:t>
      </w:r>
      <w:proofErr w:type="spellEnd"/>
      <w:r>
        <w:t xml:space="preserve"> diff </w:t>
      </w:r>
      <w:proofErr w:type="spellStart"/>
      <w:r>
        <w:t>erences</w:t>
      </w:r>
      <w:proofErr w:type="spellEnd"/>
      <w:r>
        <w:t xml:space="preserve"> were statistically </w:t>
      </w:r>
      <w:proofErr w:type="spellStart"/>
      <w:r>
        <w:t>signifi</w:t>
      </w:r>
      <w:proofErr w:type="spellEnd"/>
      <w:r>
        <w:t xml:space="preserve"> cant (P</w:t>
      </w:r>
      <w:r>
        <w:t>＜</w:t>
      </w:r>
      <w:r>
        <w:t xml:space="preserve">0.05). Conclusion High torque self-locking bracket has </w:t>
      </w:r>
      <w:proofErr w:type="spellStart"/>
      <w:r>
        <w:t>signifi</w:t>
      </w:r>
      <w:proofErr w:type="spellEnd"/>
      <w:r>
        <w:t xml:space="preserve"> cant orthodontic eff </w:t>
      </w:r>
      <w:proofErr w:type="spellStart"/>
      <w:r>
        <w:t>ect</w:t>
      </w:r>
      <w:proofErr w:type="spellEnd"/>
      <w:r>
        <w:t xml:space="preserve"> on bimaxillary </w:t>
      </w:r>
      <w:proofErr w:type="spellStart"/>
      <w:proofErr w:type="gramStart"/>
      <w:r>
        <w:t>protrusion,and</w:t>
      </w:r>
      <w:proofErr w:type="spellEnd"/>
      <w:proofErr w:type="gramEnd"/>
      <w:r>
        <w:t xml:space="preserve"> has certain advantages in reducing the risk of external apical root resorption. </w:t>
      </w:r>
    </w:p>
    <w:p w14:paraId="68B644D2" w14:textId="77777777" w:rsidR="00182443" w:rsidRDefault="00182443" w:rsidP="00182443"/>
    <w:p w14:paraId="7ED28973" w14:textId="3CA38872" w:rsidR="00182443" w:rsidRPr="00182443" w:rsidRDefault="00182443" w:rsidP="00182443">
      <w:pPr>
        <w:rPr>
          <w:rFonts w:hint="eastAsia"/>
        </w:rPr>
      </w:pPr>
      <w:r>
        <w:t xml:space="preserve">Key words: high torque; </w:t>
      </w:r>
      <w:proofErr w:type="spellStart"/>
      <w:r>
        <w:t>self locking</w:t>
      </w:r>
      <w:proofErr w:type="spellEnd"/>
      <w:r>
        <w:t xml:space="preserve"> bracket; bimaxillary protrusion; orthodontics; root morphology; external apical root resorption</w:t>
      </w:r>
    </w:p>
    <w:sectPr w:rsidR="00182443" w:rsidRPr="0018244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15A2995-1380-42F9-AEAC-879F64FD8DA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E46FC"/>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1612C"/>
    <w:rsid w:val="00F21F00"/>
    <w:rsid w:val="00F22F9D"/>
    <w:rsid w:val="00F23ADA"/>
    <w:rsid w:val="00F33AEE"/>
    <w:rsid w:val="00F56281"/>
    <w:rsid w:val="00F65BF2"/>
    <w:rsid w:val="00F70596"/>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3872</TotalTime>
  <Pages>2</Pages>
  <Words>691</Words>
  <Characters>3942</Characters>
  <Application>Microsoft Office Word</Application>
  <DocSecurity>0</DocSecurity>
  <Lines>32</Lines>
  <Paragraphs>9</Paragraphs>
  <ScaleCrop>false</ScaleCrop>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728</cp:revision>
  <dcterms:created xsi:type="dcterms:W3CDTF">2022-07-04T07:48:00Z</dcterms:created>
  <dcterms:modified xsi:type="dcterms:W3CDTF">2023-05-16T07:29:00Z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