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6F95D" w14:textId="77777777" w:rsidR="00F96185" w:rsidRDefault="00584D48" w:rsidP="00584D48">
      <w:r>
        <w:t>复合酸辅助强脉冲</w:t>
      </w:r>
      <w:proofErr w:type="gramStart"/>
      <w:r>
        <w:t>光治疗</w:t>
      </w:r>
      <w:proofErr w:type="gramEnd"/>
      <w:r>
        <w:t>玫瑰痤疮的疗效及安全性分析</w:t>
      </w:r>
      <w:r>
        <w:t xml:space="preserve"> </w:t>
      </w:r>
    </w:p>
    <w:p w14:paraId="6D803D1A" w14:textId="77777777" w:rsidR="00F96185" w:rsidRDefault="00F96185" w:rsidP="00584D48"/>
    <w:p w14:paraId="5B8F30BF" w14:textId="6BB50701" w:rsidR="00F96185" w:rsidRDefault="00584D48" w:rsidP="00584D48">
      <w:pPr>
        <w:rPr>
          <w:rFonts w:hint="eastAsia"/>
        </w:rPr>
      </w:pPr>
      <w:r>
        <w:t>韩</w:t>
      </w:r>
      <w:r>
        <w:t xml:space="preserve"> </w:t>
      </w:r>
      <w:r>
        <w:t>洁，</w:t>
      </w:r>
      <w:proofErr w:type="gramStart"/>
      <w:r>
        <w:t>訾绍</w:t>
      </w:r>
      <w:proofErr w:type="gramEnd"/>
      <w:r>
        <w:t>霞，刘爱英</w:t>
      </w:r>
      <w:r>
        <w:t xml:space="preserve"> </w:t>
      </w:r>
    </w:p>
    <w:p w14:paraId="0CB99392" w14:textId="77777777" w:rsidR="00F96185" w:rsidRDefault="00F96185" w:rsidP="00584D48"/>
    <w:p w14:paraId="20F42C18" w14:textId="1F4DF4EB" w:rsidR="00F96185" w:rsidRDefault="00584D48" w:rsidP="00584D48">
      <w:r>
        <w:t>（北京应急总医院皮肤科</w:t>
      </w:r>
      <w:r>
        <w:t xml:space="preserve"> </w:t>
      </w:r>
      <w:r>
        <w:t>北京</w:t>
      </w:r>
      <w:r>
        <w:t xml:space="preserve"> 100028</w:t>
      </w:r>
      <w:r>
        <w:t>）</w:t>
      </w:r>
      <w:r>
        <w:t xml:space="preserve"> </w:t>
      </w:r>
    </w:p>
    <w:p w14:paraId="581AC28D" w14:textId="77777777" w:rsidR="00F96185" w:rsidRDefault="00F96185" w:rsidP="00584D48"/>
    <w:p w14:paraId="4E9C4A4F" w14:textId="77777777" w:rsidR="00F96185" w:rsidRDefault="00584D48" w:rsidP="00584D48">
      <w:r>
        <w:t>[</w:t>
      </w:r>
      <w:r>
        <w:t>摘要</w:t>
      </w:r>
      <w:r>
        <w:t>]</w:t>
      </w:r>
      <w:r>
        <w:t>目的：探讨复合酸辅助强脉冲光（</w:t>
      </w:r>
      <w:r>
        <w:t>Intense pulsed light</w:t>
      </w:r>
      <w:r>
        <w:t>，</w:t>
      </w:r>
      <w:r>
        <w:t>IPL</w:t>
      </w:r>
      <w:r>
        <w:t>）治疗玫瑰痤疮的疗效及安全性。方法：选取</w:t>
      </w:r>
      <w:r>
        <w:t>2019</w:t>
      </w:r>
      <w:r>
        <w:t>年</w:t>
      </w:r>
      <w:r>
        <w:t xml:space="preserve">1 </w:t>
      </w:r>
      <w:r>
        <w:t>月</w:t>
      </w:r>
      <w:r>
        <w:t>-2021</w:t>
      </w:r>
      <w:r>
        <w:t>年</w:t>
      </w:r>
      <w:r>
        <w:t>1</w:t>
      </w:r>
      <w:r>
        <w:t>月医院收治的</w:t>
      </w:r>
      <w:r>
        <w:t>85</w:t>
      </w:r>
      <w:r>
        <w:t>例玫瑰痤疮患者，采用随机数字表法分为对照组（</w:t>
      </w:r>
      <w:r>
        <w:t>n=43</w:t>
      </w:r>
      <w:r>
        <w:t>）和研究组（</w:t>
      </w:r>
      <w:r>
        <w:t>n=42</w:t>
      </w:r>
      <w:r>
        <w:t>），对照组采用</w:t>
      </w:r>
      <w:r>
        <w:t>IPL</w:t>
      </w:r>
      <w:r>
        <w:t>治</w:t>
      </w:r>
      <w:r>
        <w:t xml:space="preserve"> </w:t>
      </w:r>
      <w:r>
        <w:t>疗，研究组在对照</w:t>
      </w:r>
      <w:proofErr w:type="gramStart"/>
      <w:r>
        <w:t>组基础</w:t>
      </w:r>
      <w:proofErr w:type="gramEnd"/>
      <w:r>
        <w:t>上联合复合酸治疗。比较两组治疗前后皮损改善情况、皮肤状态、皮肤屏障功能指标，观察并记录</w:t>
      </w:r>
      <w:r>
        <w:t xml:space="preserve"> </w:t>
      </w:r>
      <w:r>
        <w:t>两组不良反应发生情况。结果：治疗</w:t>
      </w:r>
      <w:r>
        <w:t>6</w:t>
      </w:r>
      <w:r>
        <w:t>周后，两组皮损评分均低于治疗前，研究组皮损评分低于对照组（</w:t>
      </w:r>
      <w:r>
        <w:t>P</w:t>
      </w:r>
      <w:r>
        <w:t>＜</w:t>
      </w:r>
      <w:r>
        <w:t>0.05</w:t>
      </w:r>
      <w:r>
        <w:t>）；研究组</w:t>
      </w:r>
      <w:r>
        <w:t xml:space="preserve"> </w:t>
      </w:r>
      <w:r>
        <w:t>治疗总有效率高于对照组（</w:t>
      </w:r>
      <w:r>
        <w:t>P</w:t>
      </w:r>
      <w:r>
        <w:t>＜</w:t>
      </w:r>
      <w:r>
        <w:t>0.05</w:t>
      </w:r>
      <w:r>
        <w:t>）；治疗后</w:t>
      </w:r>
      <w:r>
        <w:t>6</w:t>
      </w:r>
      <w:r>
        <w:t>、</w:t>
      </w:r>
      <w:r>
        <w:t>12</w:t>
      </w:r>
      <w:r>
        <w:t>周，两组经表皮水分流失量（</w:t>
      </w:r>
      <w:r>
        <w:t>TWEL</w:t>
      </w:r>
      <w:r>
        <w:t>）较治疗</w:t>
      </w:r>
      <w:proofErr w:type="gramStart"/>
      <w:r>
        <w:t>前逐渐</w:t>
      </w:r>
      <w:proofErr w:type="gramEnd"/>
      <w:r>
        <w:t>降低，皮脂含量、角</w:t>
      </w:r>
      <w:r>
        <w:t xml:space="preserve"> </w:t>
      </w:r>
      <w:r>
        <w:t>质层含水量均较治疗</w:t>
      </w:r>
      <w:proofErr w:type="gramStart"/>
      <w:r>
        <w:t>前逐渐</w:t>
      </w:r>
      <w:proofErr w:type="gramEnd"/>
      <w:r>
        <w:t>增加（</w:t>
      </w:r>
      <w:r>
        <w:t>P</w:t>
      </w:r>
      <w:r>
        <w:t>＜</w:t>
      </w:r>
      <w:r>
        <w:t>0.05</w:t>
      </w:r>
      <w:r>
        <w:t>）；同时间</w:t>
      </w:r>
      <w:proofErr w:type="gramStart"/>
      <w:r>
        <w:t>段研究</w:t>
      </w:r>
      <w:proofErr w:type="gramEnd"/>
      <w:r>
        <w:t>组</w:t>
      </w:r>
      <w:r>
        <w:t>TWEL</w:t>
      </w:r>
      <w:r>
        <w:t>均低于对照组，皮脂含量、角质层含水量均高于对照组</w:t>
      </w:r>
      <w:r>
        <w:t xml:space="preserve"> </w:t>
      </w:r>
      <w:r>
        <w:t>（</w:t>
      </w:r>
      <w:r>
        <w:t>P</w:t>
      </w:r>
      <w:r>
        <w:t>＜</w:t>
      </w:r>
      <w:r>
        <w:t>0.05</w:t>
      </w:r>
      <w:r>
        <w:t>）；研究组瘙痒、刺痛、潮红及水肿发生率均低于对照组（</w:t>
      </w:r>
      <w:r>
        <w:t>P</w:t>
      </w:r>
      <w:r>
        <w:t>＜</w:t>
      </w:r>
      <w:r>
        <w:t>0.05</w:t>
      </w:r>
      <w:r>
        <w:t>）。结论：复合酸辅助</w:t>
      </w:r>
      <w:r>
        <w:t>IPL</w:t>
      </w:r>
      <w:r>
        <w:t>能减少玫瑰痤疮患</w:t>
      </w:r>
      <w:r>
        <w:t xml:space="preserve"> </w:t>
      </w:r>
      <w:r>
        <w:t>者面部炎性皮损，改善患者皮肤状态，提高皮肤屏障功能，临床疗效较好，安全性佳。</w:t>
      </w:r>
      <w:r>
        <w:t xml:space="preserve"> </w:t>
      </w:r>
    </w:p>
    <w:p w14:paraId="6D46F8AD" w14:textId="77777777" w:rsidR="00F96185" w:rsidRDefault="00F96185" w:rsidP="00584D48"/>
    <w:p w14:paraId="7568E120" w14:textId="77777777" w:rsidR="00F96185" w:rsidRDefault="00584D48" w:rsidP="00584D48">
      <w:r>
        <w:t>[</w:t>
      </w:r>
      <w:r>
        <w:t>关键词</w:t>
      </w:r>
      <w:r>
        <w:t>]</w:t>
      </w:r>
      <w:r>
        <w:t>玫瑰痤疮；复合酸；强脉冲光；疗效；安全性</w:t>
      </w:r>
      <w:r>
        <w:t xml:space="preserve"> </w:t>
      </w:r>
    </w:p>
    <w:p w14:paraId="3976064E" w14:textId="77777777" w:rsidR="00F96185" w:rsidRDefault="00F96185" w:rsidP="00584D48">
      <w:pPr>
        <w:rPr>
          <w:rFonts w:hint="eastAsia"/>
        </w:rPr>
      </w:pPr>
    </w:p>
    <w:p w14:paraId="5089F3EB" w14:textId="77777777" w:rsidR="00F96185" w:rsidRDefault="00584D48" w:rsidP="00584D48">
      <w:r>
        <w:t>[</w:t>
      </w:r>
      <w:r>
        <w:t>中图分类号</w:t>
      </w:r>
      <w:r>
        <w:t>]R758.73 [</w:t>
      </w:r>
      <w:r>
        <w:t>文献标志码</w:t>
      </w:r>
      <w:r>
        <w:t>]A [</w:t>
      </w:r>
      <w:r>
        <w:t>文章编号</w:t>
      </w:r>
      <w:r>
        <w:t>]1008-6455</w:t>
      </w:r>
      <w:r>
        <w:t>（</w:t>
      </w:r>
      <w:r>
        <w:t>2023</w:t>
      </w:r>
      <w:r>
        <w:t>）</w:t>
      </w:r>
      <w:r>
        <w:t>07-0118-04</w:t>
      </w:r>
    </w:p>
    <w:p w14:paraId="7F0FE990" w14:textId="77777777" w:rsidR="00F96185" w:rsidRDefault="00F96185" w:rsidP="00584D48"/>
    <w:p w14:paraId="78CFC6CB" w14:textId="77777777" w:rsidR="00F96185" w:rsidRDefault="00584D48" w:rsidP="00584D48">
      <w:r>
        <w:t xml:space="preserve"> </w:t>
      </w:r>
      <w:proofErr w:type="spellStart"/>
      <w:r>
        <w:t>Effi</w:t>
      </w:r>
      <w:proofErr w:type="spellEnd"/>
      <w:r>
        <w:t xml:space="preserve"> </w:t>
      </w:r>
      <w:proofErr w:type="spellStart"/>
      <w:r>
        <w:t>cacy</w:t>
      </w:r>
      <w:proofErr w:type="spellEnd"/>
      <w:r>
        <w:t xml:space="preserve"> and Safety Analysis of Compound Acid-Assisted Intense Pulsed Light in the Treatment of Rosacea </w:t>
      </w:r>
    </w:p>
    <w:p w14:paraId="67A22028" w14:textId="77777777" w:rsidR="00F96185" w:rsidRDefault="00F96185" w:rsidP="00584D48"/>
    <w:p w14:paraId="74B0B01F" w14:textId="560A63C3" w:rsidR="00F96185" w:rsidRDefault="00584D48" w:rsidP="00584D48">
      <w:r>
        <w:t xml:space="preserve">HAN </w:t>
      </w:r>
      <w:proofErr w:type="spellStart"/>
      <w:proofErr w:type="gramStart"/>
      <w:r>
        <w:t>Jie,ZI</w:t>
      </w:r>
      <w:proofErr w:type="spellEnd"/>
      <w:proofErr w:type="gramEnd"/>
      <w:r>
        <w:t xml:space="preserve"> </w:t>
      </w:r>
      <w:proofErr w:type="spellStart"/>
      <w:r>
        <w:t>Shaoxia,LIU</w:t>
      </w:r>
      <w:proofErr w:type="spellEnd"/>
      <w:r>
        <w:t xml:space="preserve"> </w:t>
      </w:r>
      <w:proofErr w:type="spellStart"/>
      <w:r>
        <w:t>Aiying</w:t>
      </w:r>
      <w:proofErr w:type="spellEnd"/>
    </w:p>
    <w:p w14:paraId="710018C5" w14:textId="77777777" w:rsidR="00F96185" w:rsidRDefault="00F96185" w:rsidP="00584D48"/>
    <w:p w14:paraId="716217C0" w14:textId="39619E3B" w:rsidR="00F96185" w:rsidRDefault="00584D48" w:rsidP="00584D48">
      <w:r>
        <w:t xml:space="preserve"> (Department of </w:t>
      </w:r>
      <w:proofErr w:type="spellStart"/>
      <w:proofErr w:type="gramStart"/>
      <w:r>
        <w:t>Dermatology,Beijing</w:t>
      </w:r>
      <w:proofErr w:type="spellEnd"/>
      <w:proofErr w:type="gramEnd"/>
      <w:r>
        <w:t xml:space="preserve"> Emergency General </w:t>
      </w:r>
      <w:proofErr w:type="spellStart"/>
      <w:r>
        <w:t>Hospital,Beijing</w:t>
      </w:r>
      <w:proofErr w:type="spellEnd"/>
      <w:r>
        <w:t xml:space="preserve"> 100028,China) </w:t>
      </w:r>
    </w:p>
    <w:p w14:paraId="44D1F6E0" w14:textId="77777777" w:rsidR="00F96185" w:rsidRDefault="00F96185" w:rsidP="00584D48"/>
    <w:p w14:paraId="37806250" w14:textId="5B36150A" w:rsidR="00F96185" w:rsidRDefault="00584D48" w:rsidP="00584D48">
      <w:r>
        <w:t xml:space="preserve">Abstract: Objective To investigate the </w:t>
      </w:r>
      <w:proofErr w:type="spellStart"/>
      <w:r>
        <w:t>effi</w:t>
      </w:r>
      <w:proofErr w:type="spellEnd"/>
      <w:r>
        <w:t xml:space="preserve"> </w:t>
      </w:r>
      <w:proofErr w:type="spellStart"/>
      <w:r>
        <w:t>cacy</w:t>
      </w:r>
      <w:proofErr w:type="spellEnd"/>
      <w:r>
        <w:t xml:space="preserve"> and safety of complex acid-assisted intense pulsed light (IPL) in the treatment of rosacea. Methods A total of 85 patients with rosacea admitted to the hospital from January 2019 to January 2021 were selected and divided into a control group (n=43) and a study group (n=42) by random number table method. The control group was treated with IPL, the study group was treated with compound acid on the basis of the control group. The improvement of skin lesions, skin condition, and skin barrier function indexes were compared between the two groups before and after treatment, and the occurrence of adverse reactions in the two groups was observed and recorded. Results After 6 weeks of treatment, the skin lesion scores of both groups were lower than those before treatment, and the skin lesion scores of the study group were lower than those of the control group (P</w:t>
      </w:r>
      <w:r>
        <w:t>＜</w:t>
      </w:r>
      <w:r>
        <w:t xml:space="preserve">0.05). The total eff </w:t>
      </w:r>
      <w:proofErr w:type="spellStart"/>
      <w:r>
        <w:t>ective</w:t>
      </w:r>
      <w:proofErr w:type="spellEnd"/>
      <w:r>
        <w:t xml:space="preserve"> rate of the treatment in the study group was higher than that of the control group (P</w:t>
      </w:r>
      <w:r>
        <w:t>＜</w:t>
      </w:r>
      <w:r>
        <w:t xml:space="preserve">0.05). At 6 and 12 weeks after treatment, the </w:t>
      </w:r>
      <w:proofErr w:type="spellStart"/>
      <w:r>
        <w:t>transepidermal</w:t>
      </w:r>
      <w:proofErr w:type="spellEnd"/>
      <w:r>
        <w:t xml:space="preserve"> water loss (TWEL) of the two groups gradually decreased compared with before treatment, and the sebum content and the stratum corneum content were gradually increased (P</w:t>
      </w:r>
      <w:r>
        <w:t>＜</w:t>
      </w:r>
      <w:r>
        <w:t xml:space="preserve">0.05). The TWEL of the study group was lower than that of the control group at the same time period, the sebum content and the stratum corneum were </w:t>
      </w:r>
      <w:r>
        <w:lastRenderedPageBreak/>
        <w:t>higher than those of the control group (P</w:t>
      </w:r>
      <w:r>
        <w:t>＜</w:t>
      </w:r>
      <w:r>
        <w:t>0.05). The incidences of</w:t>
      </w:r>
      <w:r>
        <w:t xml:space="preserve"> </w:t>
      </w:r>
      <w:r>
        <w:t xml:space="preserve">itching, tingling, </w:t>
      </w:r>
      <w:proofErr w:type="spellStart"/>
      <w:r>
        <w:t>fl</w:t>
      </w:r>
      <w:proofErr w:type="spellEnd"/>
      <w:r>
        <w:t xml:space="preserve"> ushing and edema in the study group were lower than those in the control group (P</w:t>
      </w:r>
      <w:r>
        <w:t>＜</w:t>
      </w:r>
      <w:r>
        <w:t xml:space="preserve">0.05). Conclusion The complex acid with IPL for treatment can better reduce the facial </w:t>
      </w:r>
      <w:proofErr w:type="spellStart"/>
      <w:r>
        <w:t>infl</w:t>
      </w:r>
      <w:proofErr w:type="spellEnd"/>
      <w:r>
        <w:t xml:space="preserve"> </w:t>
      </w:r>
      <w:proofErr w:type="spellStart"/>
      <w:r>
        <w:t>ammatory</w:t>
      </w:r>
      <w:proofErr w:type="spellEnd"/>
      <w:r>
        <w:t xml:space="preserve"> skin lesions of patients with rosacea, improve the skin condition of the patients, improve the skin barrier function, and have good clinical </w:t>
      </w:r>
      <w:proofErr w:type="spellStart"/>
      <w:r>
        <w:t>effi</w:t>
      </w:r>
      <w:proofErr w:type="spellEnd"/>
      <w:r>
        <w:t xml:space="preserve"> </w:t>
      </w:r>
      <w:proofErr w:type="spellStart"/>
      <w:r>
        <w:t>cacy</w:t>
      </w:r>
      <w:proofErr w:type="spellEnd"/>
      <w:r>
        <w:t xml:space="preserve"> and good safety. </w:t>
      </w:r>
    </w:p>
    <w:p w14:paraId="19CD45DF" w14:textId="77777777" w:rsidR="00F96185" w:rsidRDefault="00F96185" w:rsidP="00584D48"/>
    <w:p w14:paraId="0D4B892E" w14:textId="53485AB9" w:rsidR="00772E7E" w:rsidRPr="00584D48" w:rsidRDefault="00584D48" w:rsidP="00584D48">
      <w:r>
        <w:t xml:space="preserve">Key words: rosacea; complex acid; intense pulsed light; </w:t>
      </w:r>
      <w:proofErr w:type="spellStart"/>
      <w:r>
        <w:t>effi</w:t>
      </w:r>
      <w:proofErr w:type="spellEnd"/>
      <w:r>
        <w:t xml:space="preserve"> </w:t>
      </w:r>
      <w:proofErr w:type="spellStart"/>
      <w:r>
        <w:t>cacy</w:t>
      </w:r>
      <w:proofErr w:type="spellEnd"/>
      <w:r>
        <w:t>; safety</w:t>
      </w:r>
    </w:p>
    <w:sectPr w:rsidR="00772E7E" w:rsidRPr="00584D48">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98FD0397-AC0B-49F3-B8C9-20AEEA1E3E6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05D6"/>
    <w:rsid w:val="000126A4"/>
    <w:rsid w:val="0002077B"/>
    <w:rsid w:val="00027148"/>
    <w:rsid w:val="0003265E"/>
    <w:rsid w:val="00033362"/>
    <w:rsid w:val="00033A09"/>
    <w:rsid w:val="00034882"/>
    <w:rsid w:val="00040F87"/>
    <w:rsid w:val="00041933"/>
    <w:rsid w:val="00043134"/>
    <w:rsid w:val="00043784"/>
    <w:rsid w:val="0005273B"/>
    <w:rsid w:val="00053FB7"/>
    <w:rsid w:val="000552B2"/>
    <w:rsid w:val="00063A05"/>
    <w:rsid w:val="0007579F"/>
    <w:rsid w:val="00092FC1"/>
    <w:rsid w:val="0009355D"/>
    <w:rsid w:val="00095AB1"/>
    <w:rsid w:val="000963CF"/>
    <w:rsid w:val="000A4400"/>
    <w:rsid w:val="000A7C4F"/>
    <w:rsid w:val="000B1F56"/>
    <w:rsid w:val="000B3CB3"/>
    <w:rsid w:val="000B4D7D"/>
    <w:rsid w:val="000C2277"/>
    <w:rsid w:val="000C2A37"/>
    <w:rsid w:val="000D1530"/>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53C4D"/>
    <w:rsid w:val="00161F39"/>
    <w:rsid w:val="00164031"/>
    <w:rsid w:val="00173B80"/>
    <w:rsid w:val="00176A55"/>
    <w:rsid w:val="00180761"/>
    <w:rsid w:val="0018087E"/>
    <w:rsid w:val="00182443"/>
    <w:rsid w:val="00185246"/>
    <w:rsid w:val="00186512"/>
    <w:rsid w:val="00192868"/>
    <w:rsid w:val="00195348"/>
    <w:rsid w:val="001964BB"/>
    <w:rsid w:val="001A1F94"/>
    <w:rsid w:val="001A1FB2"/>
    <w:rsid w:val="001D1E26"/>
    <w:rsid w:val="001D3916"/>
    <w:rsid w:val="001E1B6F"/>
    <w:rsid w:val="001E1C51"/>
    <w:rsid w:val="001E28AB"/>
    <w:rsid w:val="001E4621"/>
    <w:rsid w:val="001E6B7E"/>
    <w:rsid w:val="001E799E"/>
    <w:rsid w:val="00212C9E"/>
    <w:rsid w:val="00213BCF"/>
    <w:rsid w:val="00214A76"/>
    <w:rsid w:val="00227991"/>
    <w:rsid w:val="002327A2"/>
    <w:rsid w:val="00232F23"/>
    <w:rsid w:val="00244885"/>
    <w:rsid w:val="00251F95"/>
    <w:rsid w:val="00255034"/>
    <w:rsid w:val="002773D8"/>
    <w:rsid w:val="00277E64"/>
    <w:rsid w:val="00282AC2"/>
    <w:rsid w:val="00286638"/>
    <w:rsid w:val="002918D1"/>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2578D"/>
    <w:rsid w:val="003329CF"/>
    <w:rsid w:val="00337F6B"/>
    <w:rsid w:val="00340429"/>
    <w:rsid w:val="00351B5A"/>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3937"/>
    <w:rsid w:val="003C5C80"/>
    <w:rsid w:val="003D1A28"/>
    <w:rsid w:val="003E2239"/>
    <w:rsid w:val="003E507A"/>
    <w:rsid w:val="003E5D3D"/>
    <w:rsid w:val="003F23CE"/>
    <w:rsid w:val="003F48EE"/>
    <w:rsid w:val="003F4CAE"/>
    <w:rsid w:val="0040270F"/>
    <w:rsid w:val="00411CA3"/>
    <w:rsid w:val="00414CCC"/>
    <w:rsid w:val="00415ED0"/>
    <w:rsid w:val="00421391"/>
    <w:rsid w:val="00426B46"/>
    <w:rsid w:val="00434045"/>
    <w:rsid w:val="0043616F"/>
    <w:rsid w:val="0044367C"/>
    <w:rsid w:val="00443808"/>
    <w:rsid w:val="00444503"/>
    <w:rsid w:val="004619C3"/>
    <w:rsid w:val="004711B3"/>
    <w:rsid w:val="0047158A"/>
    <w:rsid w:val="00473D06"/>
    <w:rsid w:val="0047491C"/>
    <w:rsid w:val="004779A7"/>
    <w:rsid w:val="004915A9"/>
    <w:rsid w:val="004A469A"/>
    <w:rsid w:val="004B6006"/>
    <w:rsid w:val="004C6DA4"/>
    <w:rsid w:val="004D7463"/>
    <w:rsid w:val="004D7881"/>
    <w:rsid w:val="004D7BA8"/>
    <w:rsid w:val="004E6D8C"/>
    <w:rsid w:val="004E73D3"/>
    <w:rsid w:val="004F5533"/>
    <w:rsid w:val="005047F6"/>
    <w:rsid w:val="0050651D"/>
    <w:rsid w:val="00510F68"/>
    <w:rsid w:val="0051694C"/>
    <w:rsid w:val="00525F2A"/>
    <w:rsid w:val="00532FBD"/>
    <w:rsid w:val="005361F7"/>
    <w:rsid w:val="00537BDA"/>
    <w:rsid w:val="00546586"/>
    <w:rsid w:val="00560801"/>
    <w:rsid w:val="0056306C"/>
    <w:rsid w:val="005659C6"/>
    <w:rsid w:val="00584D48"/>
    <w:rsid w:val="00591EB0"/>
    <w:rsid w:val="005C7FF4"/>
    <w:rsid w:val="005D358D"/>
    <w:rsid w:val="005D6AF1"/>
    <w:rsid w:val="005E5D12"/>
    <w:rsid w:val="005E5F0F"/>
    <w:rsid w:val="005E7193"/>
    <w:rsid w:val="005F35DD"/>
    <w:rsid w:val="005F600D"/>
    <w:rsid w:val="00603F55"/>
    <w:rsid w:val="00610DFB"/>
    <w:rsid w:val="00612597"/>
    <w:rsid w:val="00613424"/>
    <w:rsid w:val="006170CE"/>
    <w:rsid w:val="00621782"/>
    <w:rsid w:val="00621957"/>
    <w:rsid w:val="00623595"/>
    <w:rsid w:val="00624B31"/>
    <w:rsid w:val="00626E93"/>
    <w:rsid w:val="00633E34"/>
    <w:rsid w:val="00634AC2"/>
    <w:rsid w:val="00635A4A"/>
    <w:rsid w:val="0063707C"/>
    <w:rsid w:val="00642902"/>
    <w:rsid w:val="006432D8"/>
    <w:rsid w:val="0065258B"/>
    <w:rsid w:val="00656889"/>
    <w:rsid w:val="006617EF"/>
    <w:rsid w:val="00667D14"/>
    <w:rsid w:val="006737ED"/>
    <w:rsid w:val="00674B20"/>
    <w:rsid w:val="006753C0"/>
    <w:rsid w:val="00684D3A"/>
    <w:rsid w:val="006A4A02"/>
    <w:rsid w:val="006A521A"/>
    <w:rsid w:val="006B3AAC"/>
    <w:rsid w:val="006B4B53"/>
    <w:rsid w:val="006B757C"/>
    <w:rsid w:val="006C314C"/>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3A7D"/>
    <w:rsid w:val="007641BF"/>
    <w:rsid w:val="00764E6B"/>
    <w:rsid w:val="00766BDE"/>
    <w:rsid w:val="00771AB2"/>
    <w:rsid w:val="00772E7E"/>
    <w:rsid w:val="00773CFC"/>
    <w:rsid w:val="0078267B"/>
    <w:rsid w:val="00796E83"/>
    <w:rsid w:val="007A3FAF"/>
    <w:rsid w:val="007C0EFB"/>
    <w:rsid w:val="007C55D7"/>
    <w:rsid w:val="007C7C28"/>
    <w:rsid w:val="007D4F47"/>
    <w:rsid w:val="007E1E1A"/>
    <w:rsid w:val="007F018C"/>
    <w:rsid w:val="007F47E9"/>
    <w:rsid w:val="007F4FF6"/>
    <w:rsid w:val="008061D5"/>
    <w:rsid w:val="00807015"/>
    <w:rsid w:val="00817CC3"/>
    <w:rsid w:val="00823940"/>
    <w:rsid w:val="00824F21"/>
    <w:rsid w:val="00830FBE"/>
    <w:rsid w:val="00835F67"/>
    <w:rsid w:val="008622EF"/>
    <w:rsid w:val="00873BFE"/>
    <w:rsid w:val="00882EF6"/>
    <w:rsid w:val="008844D5"/>
    <w:rsid w:val="008906C5"/>
    <w:rsid w:val="00891457"/>
    <w:rsid w:val="008A02F2"/>
    <w:rsid w:val="008A77CA"/>
    <w:rsid w:val="008B0D7C"/>
    <w:rsid w:val="008B25EE"/>
    <w:rsid w:val="008C4A42"/>
    <w:rsid w:val="008C6EF7"/>
    <w:rsid w:val="008C7494"/>
    <w:rsid w:val="008D06AF"/>
    <w:rsid w:val="008D1846"/>
    <w:rsid w:val="008D5BA0"/>
    <w:rsid w:val="008E0187"/>
    <w:rsid w:val="008E739C"/>
    <w:rsid w:val="008F2E45"/>
    <w:rsid w:val="008F667A"/>
    <w:rsid w:val="00902921"/>
    <w:rsid w:val="009050DA"/>
    <w:rsid w:val="00905B1F"/>
    <w:rsid w:val="0091183A"/>
    <w:rsid w:val="0091684C"/>
    <w:rsid w:val="00927650"/>
    <w:rsid w:val="00931DB6"/>
    <w:rsid w:val="00934DDE"/>
    <w:rsid w:val="009404BD"/>
    <w:rsid w:val="0094557B"/>
    <w:rsid w:val="00950DEC"/>
    <w:rsid w:val="00951654"/>
    <w:rsid w:val="00953A14"/>
    <w:rsid w:val="00955CA6"/>
    <w:rsid w:val="009603BA"/>
    <w:rsid w:val="00962095"/>
    <w:rsid w:val="00964521"/>
    <w:rsid w:val="009659C7"/>
    <w:rsid w:val="00981103"/>
    <w:rsid w:val="00981477"/>
    <w:rsid w:val="00987C6A"/>
    <w:rsid w:val="00991FEF"/>
    <w:rsid w:val="009A6831"/>
    <w:rsid w:val="009B2830"/>
    <w:rsid w:val="009B47E6"/>
    <w:rsid w:val="009B6ABE"/>
    <w:rsid w:val="009D0192"/>
    <w:rsid w:val="009D16FF"/>
    <w:rsid w:val="009D3D2F"/>
    <w:rsid w:val="009E0A3B"/>
    <w:rsid w:val="009E19C0"/>
    <w:rsid w:val="009E1B54"/>
    <w:rsid w:val="009E4C1C"/>
    <w:rsid w:val="009F02E1"/>
    <w:rsid w:val="009F3314"/>
    <w:rsid w:val="009F6BBD"/>
    <w:rsid w:val="00A04917"/>
    <w:rsid w:val="00A05051"/>
    <w:rsid w:val="00A05C59"/>
    <w:rsid w:val="00A200A3"/>
    <w:rsid w:val="00A24D59"/>
    <w:rsid w:val="00A26BB2"/>
    <w:rsid w:val="00A33E6F"/>
    <w:rsid w:val="00A34A9E"/>
    <w:rsid w:val="00A353A0"/>
    <w:rsid w:val="00A36638"/>
    <w:rsid w:val="00A4287F"/>
    <w:rsid w:val="00A42C2D"/>
    <w:rsid w:val="00A513C4"/>
    <w:rsid w:val="00A5288B"/>
    <w:rsid w:val="00A5473A"/>
    <w:rsid w:val="00A57AD1"/>
    <w:rsid w:val="00A65253"/>
    <w:rsid w:val="00A675B0"/>
    <w:rsid w:val="00A8531D"/>
    <w:rsid w:val="00A86CAC"/>
    <w:rsid w:val="00A87C2B"/>
    <w:rsid w:val="00A967E3"/>
    <w:rsid w:val="00AA1E7F"/>
    <w:rsid w:val="00AA2214"/>
    <w:rsid w:val="00AA70CC"/>
    <w:rsid w:val="00AA7A1E"/>
    <w:rsid w:val="00AB6E44"/>
    <w:rsid w:val="00AC432F"/>
    <w:rsid w:val="00AC457F"/>
    <w:rsid w:val="00AC7C12"/>
    <w:rsid w:val="00AD0BC6"/>
    <w:rsid w:val="00AD1297"/>
    <w:rsid w:val="00AD19AC"/>
    <w:rsid w:val="00AD48A0"/>
    <w:rsid w:val="00AE2938"/>
    <w:rsid w:val="00AE297F"/>
    <w:rsid w:val="00B20E9B"/>
    <w:rsid w:val="00B22D7E"/>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A30DF"/>
    <w:rsid w:val="00BB30CE"/>
    <w:rsid w:val="00BC08C2"/>
    <w:rsid w:val="00BC2D8C"/>
    <w:rsid w:val="00BD3E38"/>
    <w:rsid w:val="00BE0EBF"/>
    <w:rsid w:val="00C02216"/>
    <w:rsid w:val="00C1569D"/>
    <w:rsid w:val="00C16BAD"/>
    <w:rsid w:val="00C22FA9"/>
    <w:rsid w:val="00C242E0"/>
    <w:rsid w:val="00C251AB"/>
    <w:rsid w:val="00C258DF"/>
    <w:rsid w:val="00C323AD"/>
    <w:rsid w:val="00C35CCF"/>
    <w:rsid w:val="00C37C5F"/>
    <w:rsid w:val="00C37F32"/>
    <w:rsid w:val="00C639A2"/>
    <w:rsid w:val="00C66126"/>
    <w:rsid w:val="00C719E9"/>
    <w:rsid w:val="00C73275"/>
    <w:rsid w:val="00C73CAE"/>
    <w:rsid w:val="00C749A1"/>
    <w:rsid w:val="00C80A45"/>
    <w:rsid w:val="00C8426F"/>
    <w:rsid w:val="00CA369C"/>
    <w:rsid w:val="00CA71B7"/>
    <w:rsid w:val="00CC0170"/>
    <w:rsid w:val="00CC3324"/>
    <w:rsid w:val="00CC3F66"/>
    <w:rsid w:val="00CC413B"/>
    <w:rsid w:val="00CD5FCF"/>
    <w:rsid w:val="00CD666E"/>
    <w:rsid w:val="00CD68A4"/>
    <w:rsid w:val="00CE7196"/>
    <w:rsid w:val="00CE7656"/>
    <w:rsid w:val="00CF3056"/>
    <w:rsid w:val="00CF4352"/>
    <w:rsid w:val="00CF4706"/>
    <w:rsid w:val="00CF47E7"/>
    <w:rsid w:val="00D11883"/>
    <w:rsid w:val="00D11B2C"/>
    <w:rsid w:val="00D17F93"/>
    <w:rsid w:val="00D33D64"/>
    <w:rsid w:val="00D349EA"/>
    <w:rsid w:val="00D44CA2"/>
    <w:rsid w:val="00D530BC"/>
    <w:rsid w:val="00D55CD0"/>
    <w:rsid w:val="00D6471F"/>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C007E"/>
    <w:rsid w:val="00DC06B0"/>
    <w:rsid w:val="00DC11FF"/>
    <w:rsid w:val="00DC3750"/>
    <w:rsid w:val="00DC50A7"/>
    <w:rsid w:val="00DD033A"/>
    <w:rsid w:val="00DD3209"/>
    <w:rsid w:val="00DD538C"/>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74D28"/>
    <w:rsid w:val="00E81217"/>
    <w:rsid w:val="00E837BA"/>
    <w:rsid w:val="00E84A42"/>
    <w:rsid w:val="00E90C18"/>
    <w:rsid w:val="00E91109"/>
    <w:rsid w:val="00E926BF"/>
    <w:rsid w:val="00E94087"/>
    <w:rsid w:val="00EA6643"/>
    <w:rsid w:val="00EA741B"/>
    <w:rsid w:val="00EA7C27"/>
    <w:rsid w:val="00EB0436"/>
    <w:rsid w:val="00EB063D"/>
    <w:rsid w:val="00EB373B"/>
    <w:rsid w:val="00EC1CF5"/>
    <w:rsid w:val="00EC1D37"/>
    <w:rsid w:val="00EC2B03"/>
    <w:rsid w:val="00EE3874"/>
    <w:rsid w:val="00EE5CB2"/>
    <w:rsid w:val="00F16062"/>
    <w:rsid w:val="00F1612C"/>
    <w:rsid w:val="00F21F00"/>
    <w:rsid w:val="00F22F9D"/>
    <w:rsid w:val="00F23ADA"/>
    <w:rsid w:val="00F24E34"/>
    <w:rsid w:val="00F31281"/>
    <w:rsid w:val="00F33AEE"/>
    <w:rsid w:val="00F421E0"/>
    <w:rsid w:val="00F51219"/>
    <w:rsid w:val="00F53310"/>
    <w:rsid w:val="00F56281"/>
    <w:rsid w:val="00F65BF2"/>
    <w:rsid w:val="00F70596"/>
    <w:rsid w:val="00F774EE"/>
    <w:rsid w:val="00F83151"/>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6932C3"/>
  <w15:docId w15:val="{2844E137-09F0-4FD6-A162-5CFD50907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8285</TotalTime>
  <Pages>2</Pages>
  <Words>413</Words>
  <Characters>2357</Characters>
  <Application>Microsoft Office Word</Application>
  <DocSecurity>0</DocSecurity>
  <Lines>19</Lines>
  <Paragraphs>5</Paragraphs>
  <ScaleCrop>false</ScaleCrop>
  <Company/>
  <LinksUpToDate>false</LinksUpToDate>
  <CharactersWithSpaces>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1304</cp:revision>
  <dcterms:created xsi:type="dcterms:W3CDTF">2022-07-04T07:48:00Z</dcterms:created>
  <dcterms:modified xsi:type="dcterms:W3CDTF">2023-08-08T03:20:00Z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489711634ADF4131B054904A1A208ED9</vt:lpwstr>
  </property>
</Properties>
</file>