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093F0" w14:textId="77777777" w:rsidR="00DD2B56" w:rsidRDefault="00DD2B56" w:rsidP="00DD2B56">
      <w:r>
        <w:t>无托槽隐形矫治器与自锁托槽对</w:t>
      </w:r>
      <w:proofErr w:type="gramStart"/>
      <w:r>
        <w:t>成年错牙合</w:t>
      </w:r>
      <w:proofErr w:type="gramEnd"/>
      <w:r>
        <w:t>畸形患者咬合功能及牙周美学的影响</w:t>
      </w:r>
      <w:r>
        <w:t xml:space="preserve"> </w:t>
      </w:r>
    </w:p>
    <w:p w14:paraId="5B840EE6" w14:textId="77777777" w:rsidR="00DD2B56" w:rsidRDefault="00DD2B56" w:rsidP="00DD2B56"/>
    <w:p w14:paraId="67E038B8" w14:textId="6CC84ECD" w:rsidR="00DD2B56" w:rsidRDefault="00DD2B56" w:rsidP="00DD2B56">
      <w:r>
        <w:t>王苏娟</w:t>
      </w:r>
      <w:r>
        <w:t xml:space="preserve">1 </w:t>
      </w:r>
      <w:r>
        <w:t>，</w:t>
      </w:r>
      <w:proofErr w:type="gramStart"/>
      <w:r>
        <w:t>陈志岭</w:t>
      </w:r>
      <w:proofErr w:type="gramEnd"/>
      <w:r>
        <w:t xml:space="preserve">1 </w:t>
      </w:r>
      <w:r>
        <w:t>，张晶晶</w:t>
      </w:r>
      <w:r>
        <w:t xml:space="preserve">2 </w:t>
      </w:r>
      <w:r>
        <w:t>，赵梓杨</w:t>
      </w:r>
      <w:r>
        <w:t xml:space="preserve">1 </w:t>
      </w:r>
    </w:p>
    <w:p w14:paraId="59C0B98E" w14:textId="77777777" w:rsidR="00DD2B56" w:rsidRDefault="00DD2B56" w:rsidP="00DD2B56"/>
    <w:p w14:paraId="48D65BC5" w14:textId="1FECC7FB" w:rsidR="00DD2B56" w:rsidRDefault="00DD2B56" w:rsidP="00DD2B56">
      <w:r>
        <w:t>（</w:t>
      </w:r>
      <w:r>
        <w:t>1.</w:t>
      </w:r>
      <w:r>
        <w:t>邢台市第三医院口腔科</w:t>
      </w:r>
      <w:r>
        <w:t xml:space="preserve"> </w:t>
      </w:r>
      <w:r>
        <w:t>河北</w:t>
      </w:r>
      <w:r>
        <w:t xml:space="preserve"> </w:t>
      </w:r>
      <w:r>
        <w:t>邢台</w:t>
      </w:r>
      <w:r>
        <w:t xml:space="preserve"> 054000</w:t>
      </w:r>
      <w:r>
        <w:t>；</w:t>
      </w:r>
      <w:r>
        <w:t>2.</w:t>
      </w:r>
      <w:r>
        <w:t>河北省眼科医院口腔科</w:t>
      </w:r>
      <w:r>
        <w:t xml:space="preserve"> </w:t>
      </w:r>
      <w:r>
        <w:t>河北</w:t>
      </w:r>
      <w:r>
        <w:t xml:space="preserve"> </w:t>
      </w:r>
      <w:r>
        <w:t>邢台</w:t>
      </w:r>
      <w:r>
        <w:t xml:space="preserve"> 054000</w:t>
      </w:r>
      <w:r>
        <w:t>）</w:t>
      </w:r>
      <w:r>
        <w:t xml:space="preserve"> </w:t>
      </w:r>
    </w:p>
    <w:p w14:paraId="1B425001" w14:textId="77777777" w:rsidR="00DD2B56" w:rsidRDefault="00DD2B56" w:rsidP="00DD2B56"/>
    <w:p w14:paraId="3FC482EE" w14:textId="628B7632" w:rsidR="00DD2B56" w:rsidRDefault="00DD2B56" w:rsidP="00DD2B56">
      <w:r>
        <w:t>[</w:t>
      </w:r>
      <w:r>
        <w:t>摘要</w:t>
      </w:r>
      <w:r>
        <w:t>]</w:t>
      </w:r>
      <w:r>
        <w:t>目的：探究无托槽隐形矫治器与自锁托槽对</w:t>
      </w:r>
      <w:proofErr w:type="gramStart"/>
      <w:r>
        <w:t>成年错牙合</w:t>
      </w:r>
      <w:proofErr w:type="gramEnd"/>
      <w:r>
        <w:t>畸形患者咬合功能及牙周美学的影响。方法：将</w:t>
      </w:r>
      <w:r>
        <w:t>106</w:t>
      </w:r>
      <w:proofErr w:type="gramStart"/>
      <w:r>
        <w:t>例错牙合畸</w:t>
      </w:r>
      <w:r>
        <w:t xml:space="preserve"> </w:t>
      </w:r>
      <w:r>
        <w:t>形患者</w:t>
      </w:r>
      <w:proofErr w:type="gramEnd"/>
      <w:r>
        <w:t>按随机数字表法分为对照组和观察组，每组</w:t>
      </w:r>
      <w:r>
        <w:t>53</w:t>
      </w:r>
      <w:r>
        <w:t>例。对照组采用自锁托槽矫治器治疗，观察组采用无托槽隐形矫治器</w:t>
      </w:r>
      <w:r>
        <w:t xml:space="preserve"> </w:t>
      </w:r>
      <w:r>
        <w:t>治疗，比较两组患者矫治前、后咬合能力指标</w:t>
      </w:r>
      <w:r>
        <w:t>[</w:t>
      </w:r>
      <w:r>
        <w:t>咬合接触时间、咬合</w:t>
      </w:r>
      <w:proofErr w:type="gramStart"/>
      <w:r>
        <w:t>力中心</w:t>
      </w:r>
      <w:proofErr w:type="gramEnd"/>
      <w:r>
        <w:t>位置、最大咬合力</w:t>
      </w:r>
      <w:r>
        <w:t>]</w:t>
      </w:r>
      <w:r>
        <w:t>、同行评估等级指数（</w:t>
      </w:r>
      <w:r>
        <w:t>Peer assessment rating</w:t>
      </w:r>
      <w:r>
        <w:t>，</w:t>
      </w:r>
      <w:r>
        <w:t>PAR</w:t>
      </w:r>
      <w:r>
        <w:t>）、牙周指标</w:t>
      </w:r>
      <w:r>
        <w:t>[</w:t>
      </w:r>
      <w:r>
        <w:t>牙龈指数、牙菌斑指数、探诊深度、龈乳头指数</w:t>
      </w:r>
      <w:r>
        <w:t>]</w:t>
      </w:r>
      <w:r>
        <w:t>，矫治后满意度评分以及</w:t>
      </w:r>
      <w:proofErr w:type="gramStart"/>
      <w:r>
        <w:t>矫</w:t>
      </w:r>
      <w:proofErr w:type="gramEnd"/>
      <w:r>
        <w:t xml:space="preserve"> </w:t>
      </w:r>
      <w:r>
        <w:t>治期间不良反应发生情况。结果：矫治后，两组患者咬合接触时间均显著减少（</w:t>
      </w:r>
      <w:r>
        <w:t>P</w:t>
      </w:r>
      <w:r>
        <w:t>＜</w:t>
      </w:r>
      <w:r>
        <w:t>0.05</w:t>
      </w:r>
      <w:r>
        <w:t>），咬合</w:t>
      </w:r>
      <w:proofErr w:type="gramStart"/>
      <w:r>
        <w:t>力中心</w:t>
      </w:r>
      <w:proofErr w:type="gramEnd"/>
      <w:r>
        <w:t>位置偏移程</w:t>
      </w:r>
      <w:r>
        <w:t xml:space="preserve"> </w:t>
      </w:r>
      <w:proofErr w:type="gramStart"/>
      <w:r>
        <w:t>度显著</w:t>
      </w:r>
      <w:proofErr w:type="gramEnd"/>
      <w:r>
        <w:t>减轻（</w:t>
      </w:r>
      <w:r>
        <w:t>P</w:t>
      </w:r>
      <w:r>
        <w:t>＜</w:t>
      </w:r>
      <w:r>
        <w:t>0.05</w:t>
      </w:r>
      <w:r>
        <w:t>），咬合</w:t>
      </w:r>
      <w:proofErr w:type="gramStart"/>
      <w:r>
        <w:t>力显著</w:t>
      </w:r>
      <w:proofErr w:type="gramEnd"/>
      <w:r>
        <w:t>增加（</w:t>
      </w:r>
      <w:r>
        <w:t>P</w:t>
      </w:r>
      <w:r>
        <w:t>＜</w:t>
      </w:r>
      <w:r>
        <w:t>0.05</w:t>
      </w:r>
      <w:r>
        <w:t>），且观察</w:t>
      </w:r>
      <w:proofErr w:type="gramStart"/>
      <w:r>
        <w:t>组改善</w:t>
      </w:r>
      <w:proofErr w:type="gramEnd"/>
      <w:r>
        <w:t>程度均优于对照组（</w:t>
      </w:r>
      <w:r>
        <w:t>P</w:t>
      </w:r>
      <w:r>
        <w:t>＜</w:t>
      </w:r>
      <w:r>
        <w:t>0.05</w:t>
      </w:r>
      <w:r>
        <w:t>）；矫治后，两组患</w:t>
      </w:r>
      <w:r>
        <w:t xml:space="preserve"> </w:t>
      </w:r>
      <w:r>
        <w:t>者</w:t>
      </w:r>
      <w:r>
        <w:t>PAR</w:t>
      </w:r>
      <w:r>
        <w:t>指数中上下颌颊侧</w:t>
      </w:r>
      <w:proofErr w:type="gramStart"/>
      <w:r>
        <w:t>区咬颌</w:t>
      </w:r>
      <w:proofErr w:type="gramEnd"/>
      <w:r>
        <w:t>关系、上下颌牙齿错位、</w:t>
      </w:r>
      <w:proofErr w:type="gramStart"/>
      <w:r>
        <w:t>覆牙合</w:t>
      </w:r>
      <w:proofErr w:type="gramEnd"/>
      <w:r>
        <w:t>、覆盖及中线</w:t>
      </w:r>
      <w:proofErr w:type="gramStart"/>
      <w:r>
        <w:t>评分较</w:t>
      </w:r>
      <w:proofErr w:type="gramEnd"/>
      <w:r>
        <w:t>矫治前均显著降低（</w:t>
      </w:r>
      <w:r>
        <w:t>P</w:t>
      </w:r>
      <w:r>
        <w:t>＜</w:t>
      </w:r>
      <w:r>
        <w:t>0.05</w:t>
      </w:r>
      <w:r>
        <w:t>），但两组</w:t>
      </w:r>
      <w:r>
        <w:t xml:space="preserve"> </w:t>
      </w:r>
      <w:r>
        <w:t>间矫治后各项比较，差异无统计学意义（</w:t>
      </w:r>
      <w:r>
        <w:t>P</w:t>
      </w:r>
      <w:r>
        <w:t>＞</w:t>
      </w:r>
      <w:r>
        <w:t>0.05</w:t>
      </w:r>
      <w:r>
        <w:t>）；矫治后，两组患者牙龈指数、牙菌斑指数和探诊深度均显著增加（</w:t>
      </w:r>
      <w:r>
        <w:t xml:space="preserve">P </w:t>
      </w:r>
      <w:r>
        <w:t>＜</w:t>
      </w:r>
      <w:r>
        <w:t>0.05</w:t>
      </w:r>
      <w:r>
        <w:t>），但观察组矫治后牙龈指数、牙菌斑指数显著低于对照组（</w:t>
      </w:r>
      <w:r>
        <w:t>P</w:t>
      </w:r>
      <w:r>
        <w:t>＜</w:t>
      </w:r>
      <w:r>
        <w:t>0.05</w:t>
      </w:r>
      <w:r>
        <w:t>），龈乳头指数等级低于对照组（</w:t>
      </w:r>
      <w:r>
        <w:t>P</w:t>
      </w:r>
      <w:r>
        <w:t>＜</w:t>
      </w:r>
      <w:r>
        <w:t>0.05</w:t>
      </w:r>
      <w:r>
        <w:t>），</w:t>
      </w:r>
      <w:r>
        <w:t xml:space="preserve"> </w:t>
      </w:r>
      <w:r>
        <w:t>两组探诊深度比较，差异无统计学意义（</w:t>
      </w:r>
      <w:r>
        <w:t>P</w:t>
      </w:r>
      <w:r>
        <w:t>＞</w:t>
      </w:r>
      <w:r>
        <w:t>0.05</w:t>
      </w:r>
      <w:r>
        <w:t>）；矫治后，观察组口腔美观、口腔清洁、牙龈美观以及整体美观评分均</w:t>
      </w:r>
      <w:r>
        <w:t xml:space="preserve"> </w:t>
      </w:r>
      <w:r>
        <w:t>显著高于对照组（</w:t>
      </w:r>
      <w:r>
        <w:t>P</w:t>
      </w:r>
      <w:r>
        <w:t>＜</w:t>
      </w:r>
      <w:r>
        <w:t>0.05</w:t>
      </w:r>
      <w:r>
        <w:t>）；矫治期间，观察组咀嚼困难发生率显著低于对照组（</w:t>
      </w:r>
      <w:r>
        <w:t>P</w:t>
      </w:r>
      <w:r>
        <w:t>＜</w:t>
      </w:r>
      <w:r>
        <w:t>0.05</w:t>
      </w:r>
      <w:r>
        <w:t>），两组口腔溃疡和牙痛发生率</w:t>
      </w:r>
      <w:r>
        <w:t xml:space="preserve"> </w:t>
      </w:r>
      <w:r>
        <w:t>比较，差异无统计学意义（</w:t>
      </w:r>
      <w:r>
        <w:t>P</w:t>
      </w:r>
      <w:r>
        <w:t>＞</w:t>
      </w:r>
      <w:r>
        <w:t>0.05</w:t>
      </w:r>
      <w:r>
        <w:t>）。结论：无托槽隐形矫治器可改善</w:t>
      </w:r>
      <w:proofErr w:type="gramStart"/>
      <w:r>
        <w:t>成年错牙合</w:t>
      </w:r>
      <w:proofErr w:type="gramEnd"/>
      <w:r>
        <w:t>畸形患者的咬合功能、牙龈指标以及牙周</w:t>
      </w:r>
      <w:r>
        <w:t xml:space="preserve"> </w:t>
      </w:r>
      <w:r>
        <w:t>美观度，减轻不良反应的发生，值得临床推广应用。</w:t>
      </w:r>
      <w:r>
        <w:t xml:space="preserve"> </w:t>
      </w:r>
    </w:p>
    <w:p w14:paraId="54746C0C" w14:textId="77777777" w:rsidR="00DD2B56" w:rsidRDefault="00DD2B56" w:rsidP="00DD2B56"/>
    <w:p w14:paraId="737A4CD5" w14:textId="77777777" w:rsidR="00DD2B56" w:rsidRDefault="00DD2B56" w:rsidP="00DD2B56">
      <w:r>
        <w:t>[</w:t>
      </w:r>
      <w:r>
        <w:t>关键词</w:t>
      </w:r>
      <w:r>
        <w:t>]</w:t>
      </w:r>
      <w:proofErr w:type="gramStart"/>
      <w:r>
        <w:t>错牙合</w:t>
      </w:r>
      <w:proofErr w:type="gramEnd"/>
      <w:r>
        <w:t>畸形；无托槽隐形矫治器；自锁托槽；咬合功能；牙周美学</w:t>
      </w:r>
      <w:r>
        <w:t xml:space="preserve"> </w:t>
      </w:r>
    </w:p>
    <w:p w14:paraId="4F97A3F1" w14:textId="77777777" w:rsidR="00DD2B56" w:rsidRDefault="00DD2B56" w:rsidP="00DD2B56"/>
    <w:p w14:paraId="516B07AD" w14:textId="77777777" w:rsidR="00DD2B56" w:rsidRDefault="00DD2B56" w:rsidP="00DD2B56">
      <w:r>
        <w:t>[</w:t>
      </w:r>
      <w:r>
        <w:t>中图分类号</w:t>
      </w:r>
      <w:r>
        <w:t>]R783.5 [</w:t>
      </w:r>
      <w:r>
        <w:t>文献标志码</w:t>
      </w:r>
      <w:r>
        <w:t>]A [</w:t>
      </w:r>
      <w:r>
        <w:t>文章编号</w:t>
      </w:r>
      <w:r>
        <w:t xml:space="preserve">]1008-6455(2023)08-0140-04 </w:t>
      </w:r>
    </w:p>
    <w:p w14:paraId="667DDFF5" w14:textId="77777777" w:rsidR="00DD2B56" w:rsidRDefault="00DD2B56" w:rsidP="00DD2B56"/>
    <w:p w14:paraId="0B097577" w14:textId="77777777" w:rsidR="00DD2B56" w:rsidRDefault="00DD2B56" w:rsidP="00DD2B56">
      <w:r>
        <w:t xml:space="preserve">Effects of </w:t>
      </w:r>
      <w:proofErr w:type="spellStart"/>
      <w:r>
        <w:t>Bracketless</w:t>
      </w:r>
      <w:proofErr w:type="spellEnd"/>
      <w:r>
        <w:t xml:space="preserve"> Invisible Appliance and Self-locking Bracket on Occlusal Function and Periodontal Aesthetics in Adult Patients with Malocclusion </w:t>
      </w:r>
    </w:p>
    <w:p w14:paraId="6D6E3FBC" w14:textId="77777777" w:rsidR="00DD2B56" w:rsidRDefault="00DD2B56" w:rsidP="00DD2B56"/>
    <w:p w14:paraId="022C277E" w14:textId="04EC0451" w:rsidR="00DD2B56" w:rsidRDefault="00DD2B56" w:rsidP="00DD2B56">
      <w:r>
        <w:t>WANG Sujuan</w:t>
      </w:r>
      <w:proofErr w:type="gramStart"/>
      <w:r>
        <w:t>1 ,CHEN</w:t>
      </w:r>
      <w:proofErr w:type="gramEnd"/>
      <w:r>
        <w:t xml:space="preserve"> Zhiling1 ,ZHANG Jingjing2 ,ZHAO Ziyang1 </w:t>
      </w:r>
    </w:p>
    <w:p w14:paraId="0DEF143C" w14:textId="77777777" w:rsidR="00DD2B56" w:rsidRDefault="00DD2B56" w:rsidP="00DD2B56"/>
    <w:p w14:paraId="22109418" w14:textId="72F3CC3C" w:rsidR="00DD2B56" w:rsidRDefault="00DD2B56" w:rsidP="00DD2B56">
      <w:r>
        <w:t>(</w:t>
      </w:r>
      <w:proofErr w:type="gramStart"/>
      <w:r>
        <w:t>1.Department</w:t>
      </w:r>
      <w:proofErr w:type="gramEnd"/>
      <w:r>
        <w:t xml:space="preserve"> of </w:t>
      </w:r>
      <w:proofErr w:type="spellStart"/>
      <w:r>
        <w:t>Stomatology,Xingtai</w:t>
      </w:r>
      <w:proofErr w:type="spellEnd"/>
      <w:r>
        <w:t xml:space="preserve"> Third </w:t>
      </w:r>
      <w:proofErr w:type="spellStart"/>
      <w:r>
        <w:t>Hospital,Xingtai</w:t>
      </w:r>
      <w:proofErr w:type="spellEnd"/>
      <w:r>
        <w:t xml:space="preserve"> 054000,Hebei,China; 2.Department of </w:t>
      </w:r>
      <w:proofErr w:type="spellStart"/>
      <w:r>
        <w:t>Stomatology,Hebei</w:t>
      </w:r>
      <w:proofErr w:type="spellEnd"/>
      <w:r>
        <w:t xml:space="preserve"> Eye </w:t>
      </w:r>
      <w:proofErr w:type="spellStart"/>
      <w:r>
        <w:t>Hospital,Xingtai</w:t>
      </w:r>
      <w:proofErr w:type="spellEnd"/>
      <w:r>
        <w:t xml:space="preserve"> 054000,Hebei,China) </w:t>
      </w:r>
    </w:p>
    <w:p w14:paraId="489AC5C5" w14:textId="77777777" w:rsidR="00DD2B56" w:rsidRDefault="00DD2B56" w:rsidP="00DD2B56"/>
    <w:p w14:paraId="0D63F21D" w14:textId="710E31D6" w:rsidR="00DD2B56" w:rsidRDefault="00DD2B56" w:rsidP="00DD2B56">
      <w:r>
        <w:t xml:space="preserve">Abstract: Objective To explore the effects of </w:t>
      </w:r>
      <w:proofErr w:type="spellStart"/>
      <w:r>
        <w:t>bracketless</w:t>
      </w:r>
      <w:proofErr w:type="spellEnd"/>
      <w:r>
        <w:t xml:space="preserve"> invisible appliance and self-locking bracket on occlusal function and periodontal aesthetics in adult patients with malocclusion. Methods 106 patients with malocclusion were divided into the control group and the observation group according to the random number table method, with 53 cases in each group. The control group was treated with self-locking bracket appliance while the observation group was given </w:t>
      </w:r>
      <w:proofErr w:type="spellStart"/>
      <w:r>
        <w:t>bracketless</w:t>
      </w:r>
      <w:proofErr w:type="spellEnd"/>
      <w:r>
        <w:t xml:space="preserve"> invisible appliance, and they were given orthodontic treatment for 2 years. The occlusal ability indicators [occlusal contact time, center position of occlusal force, maximum occlusal force], peer </w:t>
      </w:r>
      <w:r>
        <w:lastRenderedPageBreak/>
        <w:t xml:space="preserve">assessment rating index (PAR) and periodontal indicators [gingival index, plaque index, probing depth, gingival papilla index] before and after orthodontic treatment, satisfaction score after orthodontic treatment and occurrence of adverse reactions during orthodontic treatment were compared between the two groups. Results After orthodontic treatment, the occlusal contact time of the two groups was </w:t>
      </w:r>
      <w:proofErr w:type="spellStart"/>
      <w:r>
        <w:t>signifi</w:t>
      </w:r>
      <w:proofErr w:type="spellEnd"/>
      <w:r>
        <w:t xml:space="preserve"> </w:t>
      </w:r>
      <w:proofErr w:type="spellStart"/>
      <w:r>
        <w:t>cantly</w:t>
      </w:r>
      <w:proofErr w:type="spellEnd"/>
      <w:r>
        <w:t xml:space="preserve"> shortened (P</w:t>
      </w:r>
      <w:r>
        <w:t>＜</w:t>
      </w:r>
      <w:r>
        <w:t>0.05), the offset of center position of occlusal force was significantly relieved (P</w:t>
      </w:r>
      <w:r>
        <w:t>＜</w:t>
      </w:r>
      <w:r>
        <w:t>0.05), and the occlusal force was significantly increased (P</w:t>
      </w:r>
      <w:r>
        <w:t>＜</w:t>
      </w:r>
      <w:r>
        <w:t>0.05), and the improvement degrees in the observation group were better than those in the control group (P</w:t>
      </w:r>
      <w:r>
        <w:t>＜</w:t>
      </w:r>
      <w:r>
        <w:t xml:space="preserve">0.05). After orthodontic treatment, the scores of PAR indexes such as maxillofacial relationship in buccal region of maxilla and mandible, maxillary and maxillary teeth dislocation, </w:t>
      </w:r>
      <w:proofErr w:type="spellStart"/>
      <w:r>
        <w:t>overbiting</w:t>
      </w:r>
      <w:proofErr w:type="spellEnd"/>
      <w:r>
        <w:t xml:space="preserve">, overlay and midline in the two groups were </w:t>
      </w:r>
      <w:proofErr w:type="spellStart"/>
      <w:r>
        <w:t>signifi</w:t>
      </w:r>
      <w:proofErr w:type="spellEnd"/>
      <w:r>
        <w:t xml:space="preserve"> </w:t>
      </w:r>
      <w:proofErr w:type="spellStart"/>
      <w:r>
        <w:t>cantly</w:t>
      </w:r>
      <w:proofErr w:type="spellEnd"/>
      <w:r>
        <w:t xml:space="preserve"> reduced (P</w:t>
      </w:r>
      <w:r>
        <w:t>＜</w:t>
      </w:r>
      <w:r>
        <w:t xml:space="preserve">0.05), but there were no statistically </w:t>
      </w:r>
      <w:proofErr w:type="spellStart"/>
      <w:r>
        <w:t>signifi</w:t>
      </w:r>
      <w:proofErr w:type="spellEnd"/>
      <w:r>
        <w:t xml:space="preserve"> cant diff </w:t>
      </w:r>
      <w:proofErr w:type="spellStart"/>
      <w:r>
        <w:t>erences</w:t>
      </w:r>
      <w:proofErr w:type="spellEnd"/>
      <w:r>
        <w:t xml:space="preserve"> between the two groups after orthodontic treatment (P</w:t>
      </w:r>
      <w:r>
        <w:t>＞</w:t>
      </w:r>
      <w:r>
        <w:t xml:space="preserve">0.05). The gingival index, plaque index and probing depth of the two groups were </w:t>
      </w:r>
      <w:proofErr w:type="spellStart"/>
      <w:r>
        <w:t>signifi</w:t>
      </w:r>
      <w:proofErr w:type="spellEnd"/>
      <w:r>
        <w:t xml:space="preserve"> </w:t>
      </w:r>
      <w:proofErr w:type="spellStart"/>
      <w:r>
        <w:t>cantly</w:t>
      </w:r>
      <w:proofErr w:type="spellEnd"/>
      <w:r>
        <w:t xml:space="preserve"> increased after orthodontic treatment (P</w:t>
      </w:r>
      <w:r>
        <w:t>＜</w:t>
      </w:r>
      <w:r>
        <w:t>0.05), but the gingival index and plaque index in the observation group after orthodontic treatment</w:t>
      </w:r>
      <w:r>
        <w:t xml:space="preserve"> </w:t>
      </w:r>
      <w:r>
        <w:t xml:space="preserve">were </w:t>
      </w:r>
      <w:proofErr w:type="spellStart"/>
      <w:r>
        <w:t>signifi</w:t>
      </w:r>
      <w:proofErr w:type="spellEnd"/>
      <w:r>
        <w:t xml:space="preserve"> </w:t>
      </w:r>
      <w:proofErr w:type="spellStart"/>
      <w:r>
        <w:t>cantly</w:t>
      </w:r>
      <w:proofErr w:type="spellEnd"/>
      <w:r>
        <w:t xml:space="preserve"> lower than those in the control group (P</w:t>
      </w:r>
      <w:r>
        <w:t>＜</w:t>
      </w:r>
      <w:r>
        <w:t>0.05), and the gingival papilla index grade was lower than that in the control group (P</w:t>
      </w:r>
      <w:r>
        <w:t>＜</w:t>
      </w:r>
      <w:r>
        <w:t>0.05), but there was no statistical significance in the probing depth between the two groups (P</w:t>
      </w:r>
      <w:r>
        <w:t>＞</w:t>
      </w:r>
      <w:r>
        <w:t xml:space="preserve"> 0.05). After orthodontic treatment, the scores of oral appearance, oral cleanliness, gingival aesthetics and overall aesthetics in the observation group were </w:t>
      </w:r>
      <w:proofErr w:type="spellStart"/>
      <w:r>
        <w:t>signifi</w:t>
      </w:r>
      <w:proofErr w:type="spellEnd"/>
      <w:r>
        <w:t xml:space="preserve"> </w:t>
      </w:r>
      <w:proofErr w:type="spellStart"/>
      <w:r>
        <w:t>cantly</w:t>
      </w:r>
      <w:proofErr w:type="spellEnd"/>
      <w:r>
        <w:t xml:space="preserve"> higher than those in the control group (P</w:t>
      </w:r>
      <w:r>
        <w:t>＜</w:t>
      </w:r>
      <w:r>
        <w:t xml:space="preserve">0.05). During orthodontic treatment, the incidence rate of chewing </w:t>
      </w:r>
      <w:proofErr w:type="spellStart"/>
      <w:r>
        <w:t>diffi</w:t>
      </w:r>
      <w:proofErr w:type="spellEnd"/>
      <w:r>
        <w:t xml:space="preserve"> </w:t>
      </w:r>
      <w:proofErr w:type="spellStart"/>
      <w:r>
        <w:t>culties</w:t>
      </w:r>
      <w:proofErr w:type="spellEnd"/>
      <w:r>
        <w:t xml:space="preserve"> in the observation group was </w:t>
      </w:r>
      <w:proofErr w:type="spellStart"/>
      <w:r>
        <w:t>signifi</w:t>
      </w:r>
      <w:proofErr w:type="spellEnd"/>
      <w:r>
        <w:t xml:space="preserve"> </w:t>
      </w:r>
      <w:proofErr w:type="spellStart"/>
      <w:r>
        <w:t>cantly</w:t>
      </w:r>
      <w:proofErr w:type="spellEnd"/>
      <w:r>
        <w:t xml:space="preserve"> lower than that in the control group (P</w:t>
      </w:r>
      <w:r>
        <w:t>＜</w:t>
      </w:r>
      <w:r>
        <w:t xml:space="preserve">0.05), but there were no statistical diff </w:t>
      </w:r>
      <w:proofErr w:type="spellStart"/>
      <w:r>
        <w:t>erences</w:t>
      </w:r>
      <w:proofErr w:type="spellEnd"/>
      <w:r>
        <w:t xml:space="preserve"> in the incidence rates of oral ulcers and toothache between the two groups (P</w:t>
      </w:r>
      <w:r>
        <w:t>＞</w:t>
      </w:r>
      <w:r>
        <w:t xml:space="preserve">0.05). Conclusion </w:t>
      </w:r>
      <w:proofErr w:type="spellStart"/>
      <w:r>
        <w:t>Bracketless</w:t>
      </w:r>
      <w:proofErr w:type="spellEnd"/>
      <w:r>
        <w:t xml:space="preserve"> invisible appliance can improve the occlusal function, gingival indicators and periodontal aesthetics and reduce the occurrence of adverse reactions in adult patients with malocclusion, thus it is worthy of clinical promotion. </w:t>
      </w:r>
    </w:p>
    <w:p w14:paraId="55E42356" w14:textId="77777777" w:rsidR="00DD2B56" w:rsidRDefault="00DD2B56" w:rsidP="00DD2B56"/>
    <w:p w14:paraId="7E1D6C62" w14:textId="4E4C0838" w:rsidR="004B5E3D" w:rsidRPr="00DD2B56" w:rsidRDefault="00DD2B56" w:rsidP="00DD2B56">
      <w:r>
        <w:t xml:space="preserve">Key words: malocclusion; </w:t>
      </w:r>
      <w:proofErr w:type="spellStart"/>
      <w:r>
        <w:t>bracketless</w:t>
      </w:r>
      <w:proofErr w:type="spellEnd"/>
      <w:r>
        <w:t xml:space="preserve"> invisible appliance; self-locking bracket; occlusal function; periodontal aesthetics</w:t>
      </w:r>
    </w:p>
    <w:sectPr w:rsidR="004B5E3D" w:rsidRPr="00DD2B5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66DD2" w14:textId="77777777" w:rsidR="00FB6C28" w:rsidRDefault="00FB6C28" w:rsidP="00762353">
      <w:r>
        <w:separator/>
      </w:r>
    </w:p>
  </w:endnote>
  <w:endnote w:type="continuationSeparator" w:id="0">
    <w:p w14:paraId="54A89AE6" w14:textId="77777777" w:rsidR="00FB6C28" w:rsidRDefault="00FB6C28"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D903B7D-FB68-4649-8B9C-B696DAEDFBF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9DA4A" w14:textId="77777777" w:rsidR="00FB6C28" w:rsidRDefault="00FB6C28" w:rsidP="00762353">
      <w:r>
        <w:separator/>
      </w:r>
    </w:p>
  </w:footnote>
  <w:footnote w:type="continuationSeparator" w:id="0">
    <w:p w14:paraId="044238B0" w14:textId="77777777" w:rsidR="00FB6C28" w:rsidRDefault="00FB6C28"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13C5"/>
    <w:rsid w:val="000A4400"/>
    <w:rsid w:val="000A7C4F"/>
    <w:rsid w:val="000B1F56"/>
    <w:rsid w:val="000B3CB3"/>
    <w:rsid w:val="000B4D7D"/>
    <w:rsid w:val="000C0187"/>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0408"/>
    <w:rsid w:val="004915A9"/>
    <w:rsid w:val="004A469A"/>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253C"/>
    <w:rsid w:val="00633E34"/>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E7A26"/>
    <w:rsid w:val="008F2E45"/>
    <w:rsid w:val="008F667A"/>
    <w:rsid w:val="00902921"/>
    <w:rsid w:val="009050DA"/>
    <w:rsid w:val="00905B1F"/>
    <w:rsid w:val="0091183A"/>
    <w:rsid w:val="0091684C"/>
    <w:rsid w:val="00927650"/>
    <w:rsid w:val="00931DB6"/>
    <w:rsid w:val="00934DDE"/>
    <w:rsid w:val="009404BD"/>
    <w:rsid w:val="009438FB"/>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2216"/>
    <w:rsid w:val="00C02C4F"/>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B6C28"/>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9787</TotalTime>
  <Pages>2</Pages>
  <Words>660</Words>
  <Characters>3765</Characters>
  <Application>Microsoft Office Word</Application>
  <DocSecurity>0</DocSecurity>
  <Lines>31</Lines>
  <Paragraphs>8</Paragraphs>
  <ScaleCrop>false</ScaleCrop>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1507</cp:revision>
  <dcterms:created xsi:type="dcterms:W3CDTF">2022-07-04T07:48:00Z</dcterms:created>
  <dcterms:modified xsi:type="dcterms:W3CDTF">2023-09-01T03:23:00Z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