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AFDA3" w14:textId="77777777" w:rsidR="00C01821" w:rsidRDefault="00C01821" w:rsidP="00C01821">
      <w:r>
        <w:t>玉屏风颗粒联合液氮冷冻治疗寻常疣的临床疗效及对免疫功能的影响</w:t>
      </w:r>
      <w:r>
        <w:t xml:space="preserve"> </w:t>
      </w:r>
    </w:p>
    <w:p w14:paraId="520634AF" w14:textId="77777777" w:rsidR="00C01821" w:rsidRDefault="00C01821" w:rsidP="00C01821"/>
    <w:p w14:paraId="16040280" w14:textId="3B9158BE" w:rsidR="00C01821" w:rsidRDefault="00C01821" w:rsidP="00C01821">
      <w:r>
        <w:t>林</w:t>
      </w:r>
      <w:r>
        <w:t xml:space="preserve"> </w:t>
      </w:r>
      <w:r>
        <w:t>果</w:t>
      </w:r>
      <w:r>
        <w:t xml:space="preserve">1 </w:t>
      </w:r>
      <w:r>
        <w:t>，卢祥婷</w:t>
      </w:r>
      <w:r>
        <w:t xml:space="preserve">2 </w:t>
      </w:r>
      <w:r>
        <w:t>，姜</w:t>
      </w:r>
      <w:r>
        <w:t xml:space="preserve"> </w:t>
      </w:r>
      <w:proofErr w:type="gramStart"/>
      <w:r>
        <w:t>娟</w:t>
      </w:r>
      <w:proofErr w:type="gramEnd"/>
      <w:r>
        <w:t xml:space="preserve">3 </w:t>
      </w:r>
      <w:r>
        <w:t>，陈元</w:t>
      </w:r>
      <w:proofErr w:type="gramStart"/>
      <w:r>
        <w:t>元</w:t>
      </w:r>
      <w:proofErr w:type="gramEnd"/>
      <w:r>
        <w:t xml:space="preserve">1 </w:t>
      </w:r>
      <w:r>
        <w:t>，</w:t>
      </w:r>
      <w:proofErr w:type="gramStart"/>
      <w:r>
        <w:t>李振鲁</w:t>
      </w:r>
      <w:proofErr w:type="gramEnd"/>
      <w:r>
        <w:t xml:space="preserve">2 </w:t>
      </w:r>
    </w:p>
    <w:p w14:paraId="6E22D39C" w14:textId="77777777" w:rsidR="00C01821" w:rsidRDefault="00C01821" w:rsidP="00C01821"/>
    <w:p w14:paraId="25D5DAA4" w14:textId="32E09E3A" w:rsidR="00C01821" w:rsidRDefault="00C01821" w:rsidP="00C01821">
      <w:r>
        <w:t>（</w:t>
      </w:r>
      <w:r>
        <w:t>1.</w:t>
      </w:r>
      <w:r>
        <w:t>南京市雨花医院皮肤科</w:t>
      </w:r>
      <w:r>
        <w:t xml:space="preserve"> </w:t>
      </w:r>
      <w:r>
        <w:t>江苏</w:t>
      </w:r>
      <w:r>
        <w:t xml:space="preserve"> </w:t>
      </w:r>
      <w:r>
        <w:t>南京</w:t>
      </w:r>
      <w:r>
        <w:t xml:space="preserve"> 210039</w:t>
      </w:r>
      <w:r>
        <w:t>；</w:t>
      </w:r>
      <w:r>
        <w:t>2.</w:t>
      </w:r>
      <w:r>
        <w:t>河南省人民医院皮肤科</w:t>
      </w:r>
      <w:r>
        <w:t xml:space="preserve"> </w:t>
      </w:r>
      <w:r>
        <w:t>河南</w:t>
      </w:r>
      <w:r>
        <w:t xml:space="preserve"> </w:t>
      </w:r>
      <w:r>
        <w:t>郑州</w:t>
      </w:r>
      <w:r>
        <w:t xml:space="preserve"> 450003</w:t>
      </w:r>
      <w:r>
        <w:t>；</w:t>
      </w:r>
      <w:r>
        <w:t>3.</w:t>
      </w:r>
      <w:r>
        <w:t>南京市职业病防治院门诊部</w:t>
      </w:r>
      <w:r>
        <w:t xml:space="preserve"> </w:t>
      </w:r>
      <w:r>
        <w:t>江苏</w:t>
      </w:r>
      <w:r>
        <w:t xml:space="preserve"> </w:t>
      </w:r>
      <w:r>
        <w:t>南京</w:t>
      </w:r>
      <w:r>
        <w:t xml:space="preserve"> 210042</w:t>
      </w:r>
      <w:r>
        <w:t>）</w:t>
      </w:r>
      <w:r>
        <w:t xml:space="preserve"> </w:t>
      </w:r>
    </w:p>
    <w:p w14:paraId="41F46699" w14:textId="77777777" w:rsidR="00C01821" w:rsidRDefault="00C01821" w:rsidP="00C01821"/>
    <w:p w14:paraId="0C830DC3" w14:textId="77777777" w:rsidR="00C01821" w:rsidRDefault="00C01821" w:rsidP="00C01821">
      <w:r>
        <w:t>[</w:t>
      </w:r>
      <w:r>
        <w:t>摘要</w:t>
      </w:r>
      <w:r>
        <w:t>]</w:t>
      </w:r>
      <w:r>
        <w:t>目的：探讨玉屏风颗粒联合液氮冷冻治疗寻常疣的临床疗效及对免疫功能指标的影响。方法：选取</w:t>
      </w:r>
      <w:r>
        <w:t>2019</w:t>
      </w:r>
      <w:r>
        <w:t>年</w:t>
      </w:r>
      <w:r>
        <w:t>1</w:t>
      </w:r>
      <w:r>
        <w:t>月</w:t>
      </w:r>
      <w:r>
        <w:t xml:space="preserve">-2022 </w:t>
      </w:r>
      <w:r>
        <w:t>年</w:t>
      </w:r>
      <w:r>
        <w:t>5</w:t>
      </w:r>
      <w:r>
        <w:t>月在笔者医院皮肤科接受治疗的</w:t>
      </w:r>
      <w:r>
        <w:t>94</w:t>
      </w:r>
      <w:r>
        <w:t>例寻常</w:t>
      </w:r>
      <w:proofErr w:type="gramStart"/>
      <w:r>
        <w:t>疣</w:t>
      </w:r>
      <w:proofErr w:type="gramEnd"/>
      <w:r>
        <w:t>患者，按就诊顺序依随机数字表法</w:t>
      </w:r>
      <w:proofErr w:type="gramStart"/>
      <w:r>
        <w:t>分为分为</w:t>
      </w:r>
      <w:proofErr w:type="gramEnd"/>
      <w:r>
        <w:t>研究组（</w:t>
      </w:r>
      <w:r>
        <w:t>n =47</w:t>
      </w:r>
      <w:r>
        <w:t>）与对照组</w:t>
      </w:r>
      <w:r>
        <w:t xml:space="preserve"> </w:t>
      </w:r>
      <w:r>
        <w:t>（</w:t>
      </w:r>
      <w:r>
        <w:t>n=47</w:t>
      </w:r>
      <w:r>
        <w:t>），两组均进行液氮冷冻治疗，研究</w:t>
      </w:r>
      <w:proofErr w:type="gramStart"/>
      <w:r>
        <w:t>组在此</w:t>
      </w:r>
      <w:proofErr w:type="gramEnd"/>
      <w:r>
        <w:t>基础上联合玉屏风颗粒治疗。比较两组临床疗效；比较两组治疗前后</w:t>
      </w:r>
      <w:r>
        <w:t xml:space="preserve"> </w:t>
      </w:r>
      <w:r>
        <w:t>免疫指标</w:t>
      </w:r>
      <w:r>
        <w:t>[</w:t>
      </w:r>
      <w:r>
        <w:t>（</w:t>
      </w:r>
      <w:r>
        <w:t xml:space="preserve">CD4+ </w:t>
      </w:r>
      <w:r>
        <w:t>、</w:t>
      </w:r>
      <w:r>
        <w:t xml:space="preserve">CD8+ </w:t>
      </w:r>
      <w:r>
        <w:t>、</w:t>
      </w:r>
      <w:r>
        <w:t xml:space="preserve">CD3+ </w:t>
      </w:r>
      <w:r>
        <w:t>、</w:t>
      </w:r>
      <w:r>
        <w:t xml:space="preserve">CD4+ /CD8+ </w:t>
      </w:r>
      <w:r>
        <w:t>）、免疫球蛋白</w:t>
      </w:r>
      <w:r>
        <w:t>E</w:t>
      </w:r>
      <w:r>
        <w:t>（</w:t>
      </w:r>
      <w:proofErr w:type="spellStart"/>
      <w:r>
        <w:t>IgE</w:t>
      </w:r>
      <w:proofErr w:type="spellEnd"/>
      <w:r>
        <w:t>）、</w:t>
      </w:r>
      <w:r>
        <w:t>γ-</w:t>
      </w:r>
      <w:r>
        <w:t>干扰素（</w:t>
      </w:r>
      <w:r>
        <w:t>INF-γ</w:t>
      </w:r>
      <w:r>
        <w:t>）、白介素</w:t>
      </w:r>
      <w:r>
        <w:t>2</w:t>
      </w:r>
      <w:r>
        <w:t>（</w:t>
      </w:r>
      <w:r>
        <w:t>IL-2</w:t>
      </w:r>
      <w:r>
        <w:t>）、白介素</w:t>
      </w:r>
      <w:r>
        <w:t xml:space="preserve">6 </w:t>
      </w:r>
      <w:r>
        <w:t>（</w:t>
      </w:r>
      <w:r>
        <w:t>IL-6</w:t>
      </w:r>
      <w:r>
        <w:t>）</w:t>
      </w:r>
      <w:r>
        <w:t>]</w:t>
      </w:r>
      <w:r>
        <w:t>水平并比较两组不良反应发生率及复发情况。结果：治疗前，两组</w:t>
      </w:r>
      <w:r>
        <w:t xml:space="preserve">CD4+ </w:t>
      </w:r>
      <w:r>
        <w:t>、</w:t>
      </w:r>
      <w:r>
        <w:t xml:space="preserve">CD8+ </w:t>
      </w:r>
      <w:r>
        <w:t>、</w:t>
      </w:r>
      <w:r>
        <w:t xml:space="preserve">CD3+ </w:t>
      </w:r>
      <w:r>
        <w:t>、</w:t>
      </w:r>
      <w:r>
        <w:t xml:space="preserve">CD4+ /CD8+ </w:t>
      </w:r>
      <w:r>
        <w:t>、</w:t>
      </w:r>
      <w:r>
        <w:t>INF-γ</w:t>
      </w:r>
      <w:r>
        <w:t>、</w:t>
      </w:r>
      <w:r>
        <w:t>IL-2</w:t>
      </w:r>
      <w:r>
        <w:t>、</w:t>
      </w:r>
      <w:r>
        <w:t xml:space="preserve"> IL-6</w:t>
      </w:r>
      <w:r>
        <w:t>、</w:t>
      </w:r>
      <w:proofErr w:type="spellStart"/>
      <w:r>
        <w:t>IgE</w:t>
      </w:r>
      <w:proofErr w:type="spellEnd"/>
      <w:r>
        <w:t>水平差异无统计学意义（</w:t>
      </w:r>
      <w:r>
        <w:t>P</w:t>
      </w:r>
      <w:r>
        <w:t>＞</w:t>
      </w:r>
      <w:r>
        <w:t>0.05</w:t>
      </w:r>
      <w:r>
        <w:t>）；治疗后，研究组临床疗效、</w:t>
      </w:r>
      <w:r>
        <w:t xml:space="preserve">CD4+ </w:t>
      </w:r>
      <w:r>
        <w:t>、</w:t>
      </w:r>
      <w:r>
        <w:t xml:space="preserve">CD3+ </w:t>
      </w:r>
      <w:r>
        <w:t>、</w:t>
      </w:r>
      <w:r>
        <w:t xml:space="preserve">CD4+ /CD8+ </w:t>
      </w:r>
      <w:r>
        <w:t>、</w:t>
      </w:r>
      <w:r>
        <w:t>INF-γ</w:t>
      </w:r>
      <w:r>
        <w:t>、</w:t>
      </w:r>
      <w:r>
        <w:t>IL-2</w:t>
      </w:r>
      <w:r>
        <w:t>、</w:t>
      </w:r>
      <w:r>
        <w:t>IL-6</w:t>
      </w:r>
      <w:r>
        <w:t>、</w:t>
      </w:r>
      <w:r>
        <w:t xml:space="preserve"> </w:t>
      </w:r>
      <w:proofErr w:type="spellStart"/>
      <w:r>
        <w:t>IgE</w:t>
      </w:r>
      <w:proofErr w:type="spellEnd"/>
      <w:r>
        <w:t>水平均高于对照组，</w:t>
      </w:r>
      <w:r>
        <w:t xml:space="preserve">CD8+ </w:t>
      </w:r>
      <w:r>
        <w:t>水平低于对照组，差异具有统计学意义（</w:t>
      </w:r>
      <w:r>
        <w:t>P</w:t>
      </w:r>
      <w:r>
        <w:t>＜</w:t>
      </w:r>
      <w:r>
        <w:t>0.05</w:t>
      </w:r>
      <w:r>
        <w:t>）。研究组不良反应及复发率均低于对照组，</w:t>
      </w:r>
      <w:r>
        <w:t xml:space="preserve"> </w:t>
      </w:r>
      <w:r>
        <w:t>但差异无统计学意义（</w:t>
      </w:r>
      <w:r>
        <w:t>P</w:t>
      </w:r>
      <w:r>
        <w:t>＞</w:t>
      </w:r>
      <w:r>
        <w:t>0.05</w:t>
      </w:r>
      <w:r>
        <w:t>）。结论：玉屏风颗粒联合液氮冷冻治疗寻常</w:t>
      </w:r>
      <w:proofErr w:type="gramStart"/>
      <w:r>
        <w:t>疣</w:t>
      </w:r>
      <w:proofErr w:type="gramEnd"/>
      <w:r>
        <w:t>具有较好临床疗效，可提升患者免疫功能，</w:t>
      </w:r>
      <w:r>
        <w:t xml:space="preserve"> </w:t>
      </w:r>
      <w:r>
        <w:t>且具有较好安全性，值得在临床推广应用。</w:t>
      </w:r>
      <w:r>
        <w:t xml:space="preserve"> </w:t>
      </w:r>
    </w:p>
    <w:p w14:paraId="77BD52E6" w14:textId="77777777" w:rsidR="00C01821" w:rsidRDefault="00C01821" w:rsidP="00C01821"/>
    <w:p w14:paraId="7C16BA41" w14:textId="77777777" w:rsidR="00C01821" w:rsidRDefault="00C01821" w:rsidP="00C01821">
      <w:r>
        <w:t>[</w:t>
      </w:r>
      <w:r>
        <w:t>关键词</w:t>
      </w:r>
      <w:r>
        <w:t>]</w:t>
      </w:r>
      <w:r>
        <w:t>玉屏风颗粒；液氮冷冻治疗；寻常疣；免疫功能</w:t>
      </w:r>
      <w:r>
        <w:t xml:space="preserve"> </w:t>
      </w:r>
    </w:p>
    <w:p w14:paraId="4E227130" w14:textId="77777777" w:rsidR="00C01821" w:rsidRDefault="00C01821" w:rsidP="00C01821"/>
    <w:p w14:paraId="7EEF5F2E" w14:textId="77777777" w:rsidR="00C01821" w:rsidRDefault="00C01821" w:rsidP="00C01821">
      <w:r>
        <w:t>[</w:t>
      </w:r>
      <w:r>
        <w:t>中图分类号</w:t>
      </w:r>
      <w:r>
        <w:t>]R752.5+ 1 [</w:t>
      </w:r>
      <w:r>
        <w:t>文献标志码</w:t>
      </w:r>
      <w:r>
        <w:t>]A [</w:t>
      </w:r>
      <w:r>
        <w:t>文章编号</w:t>
      </w:r>
      <w:r>
        <w:t>]1008-6455</w:t>
      </w:r>
      <w:r>
        <w:t>（</w:t>
      </w:r>
      <w:r>
        <w:t>2023</w:t>
      </w:r>
      <w:r>
        <w:t>）</w:t>
      </w:r>
      <w:r>
        <w:t xml:space="preserve">08-0156-04 </w:t>
      </w:r>
    </w:p>
    <w:p w14:paraId="27A44136" w14:textId="77777777" w:rsidR="00C01821" w:rsidRDefault="00C01821" w:rsidP="00C01821"/>
    <w:p w14:paraId="64D3DF43" w14:textId="77777777" w:rsidR="00C01821" w:rsidRDefault="00C01821" w:rsidP="00C01821">
      <w:r>
        <w:t xml:space="preserve">Effect of Yu </w:t>
      </w:r>
      <w:proofErr w:type="spellStart"/>
      <w:r>
        <w:t>Pingfeng</w:t>
      </w:r>
      <w:proofErr w:type="spellEnd"/>
      <w:r>
        <w:t xml:space="preserve"> Granules Combined with Liquid Nitrogen Cryotherapy in the Treatment of Verruca Vulgaris and the </w:t>
      </w:r>
      <w:proofErr w:type="spellStart"/>
      <w:r>
        <w:t>Infl</w:t>
      </w:r>
      <w:proofErr w:type="spellEnd"/>
      <w:r>
        <w:t xml:space="preserve"> </w:t>
      </w:r>
      <w:proofErr w:type="spellStart"/>
      <w:r>
        <w:t>uence</w:t>
      </w:r>
      <w:proofErr w:type="spellEnd"/>
      <w:r>
        <w:t xml:space="preserve"> on Immune Function Indicators</w:t>
      </w:r>
    </w:p>
    <w:p w14:paraId="51CBE3C4" w14:textId="77777777" w:rsidR="00C01821" w:rsidRDefault="00C01821" w:rsidP="00C01821"/>
    <w:p w14:paraId="32A9EA37" w14:textId="2F28F857" w:rsidR="00C01821" w:rsidRDefault="00C01821" w:rsidP="00C01821">
      <w:r>
        <w:t xml:space="preserve"> LIN Guo</w:t>
      </w:r>
      <w:proofErr w:type="gramStart"/>
      <w:r>
        <w:t>1 ,LU</w:t>
      </w:r>
      <w:proofErr w:type="gramEnd"/>
      <w:r>
        <w:t xml:space="preserve"> Xiangting2 ,JIANG Juan3 ,CHEN Yuanyuan1 ,LI Zhenlu2 </w:t>
      </w:r>
    </w:p>
    <w:p w14:paraId="5F036625" w14:textId="77777777" w:rsidR="00C01821" w:rsidRDefault="00C01821" w:rsidP="00C01821"/>
    <w:p w14:paraId="6BE7C48D" w14:textId="3B8B031E" w:rsidR="00C01821" w:rsidRDefault="00C01821" w:rsidP="00C01821">
      <w:r>
        <w:t>(</w:t>
      </w:r>
      <w:proofErr w:type="gramStart"/>
      <w:r>
        <w:t>1.Department</w:t>
      </w:r>
      <w:proofErr w:type="gramEnd"/>
      <w:r>
        <w:t xml:space="preserve"> of </w:t>
      </w:r>
      <w:proofErr w:type="spellStart"/>
      <w:r>
        <w:t>Dermatology,Nanjing</w:t>
      </w:r>
      <w:proofErr w:type="spellEnd"/>
      <w:r>
        <w:t xml:space="preserve"> Yuhua </w:t>
      </w:r>
      <w:proofErr w:type="spellStart"/>
      <w:r>
        <w:t>Hospital,Nanjing</w:t>
      </w:r>
      <w:proofErr w:type="spellEnd"/>
      <w:r>
        <w:t xml:space="preserve"> 210039,Jiangsu,China; 2.Department of </w:t>
      </w:r>
      <w:proofErr w:type="spellStart"/>
      <w:r>
        <w:t>Dermatology,Henan</w:t>
      </w:r>
      <w:proofErr w:type="spellEnd"/>
      <w:r>
        <w:t xml:space="preserve"> Provincial People's </w:t>
      </w:r>
      <w:proofErr w:type="spellStart"/>
      <w:r>
        <w:t>Hospital,Zhengzhou</w:t>
      </w:r>
      <w:proofErr w:type="spellEnd"/>
      <w:r>
        <w:t xml:space="preserve"> 450003,Henan,China; 3.Outpatient Department, Nanjing Occupational Disease Prevention and Treatment </w:t>
      </w:r>
      <w:proofErr w:type="spellStart"/>
      <w:r>
        <w:t>Hospital,Nanjing</w:t>
      </w:r>
      <w:proofErr w:type="spellEnd"/>
      <w:r>
        <w:t xml:space="preserve"> 210042,Jiangsu,China) </w:t>
      </w:r>
    </w:p>
    <w:p w14:paraId="152D89C5" w14:textId="77777777" w:rsidR="00C01821" w:rsidRDefault="00C01821" w:rsidP="00C01821"/>
    <w:p w14:paraId="5DA048DD" w14:textId="356C4205" w:rsidR="00C01821" w:rsidRDefault="00C01821" w:rsidP="00C01821">
      <w:r>
        <w:t xml:space="preserve">Abstract: Objective The aim of this study was to investigate the effect of Yu </w:t>
      </w:r>
      <w:proofErr w:type="spellStart"/>
      <w:r>
        <w:t>Pingfeng</w:t>
      </w:r>
      <w:proofErr w:type="spellEnd"/>
      <w:r>
        <w:t xml:space="preserve"> Granules combined with liquid nitrogen cryotherapy in the treatment of verruca vulgaris, and the </w:t>
      </w:r>
      <w:proofErr w:type="spellStart"/>
      <w:r>
        <w:t>infl</w:t>
      </w:r>
      <w:proofErr w:type="spellEnd"/>
      <w:r>
        <w:t xml:space="preserve"> </w:t>
      </w:r>
      <w:proofErr w:type="spellStart"/>
      <w:r>
        <w:t>uence</w:t>
      </w:r>
      <w:proofErr w:type="spellEnd"/>
      <w:r>
        <w:t xml:space="preserve"> on immune function indicators. Methods A total of 94 patients with verruca vulgaris were admitted to the hospital from January 2019 to May 2022. The patients were divided into study group (n=47) and control group (n=47) by random number table method. All patients underwent liquid nitrogen cryotherapy, and patients in the study group were additionally treated with </w:t>
      </w:r>
      <w:proofErr w:type="spellStart"/>
      <w:r>
        <w:t>Dingyu</w:t>
      </w:r>
      <w:proofErr w:type="spellEnd"/>
      <w:r>
        <w:t xml:space="preserve"> </w:t>
      </w:r>
      <w:proofErr w:type="spellStart"/>
      <w:r>
        <w:t>Pingfeng</w:t>
      </w:r>
      <w:proofErr w:type="spellEnd"/>
      <w:r>
        <w:t xml:space="preserve"> Granules. The two groups were compared in terms of clinical eff </w:t>
      </w:r>
      <w:proofErr w:type="spellStart"/>
      <w:r>
        <w:t>ect</w:t>
      </w:r>
      <w:proofErr w:type="spellEnd"/>
      <w:r>
        <w:t>, immune indicators (CD4</w:t>
      </w:r>
      <w:proofErr w:type="gramStart"/>
      <w:r>
        <w:t>+ ,</w:t>
      </w:r>
      <w:proofErr w:type="gramEnd"/>
      <w:r>
        <w:t xml:space="preserve"> CD8+ , CD3+ and CD4+ /CD8+ ,immunoglobulin E (</w:t>
      </w:r>
      <w:proofErr w:type="spellStart"/>
      <w:r>
        <w:t>IgE</w:t>
      </w:r>
      <w:proofErr w:type="spellEnd"/>
      <w:r>
        <w:t xml:space="preserve">), interferon-gamma (INF-γ), interleukin 2 (IL-2) and interleukin-6 (IL-6)), the incidence of adverse reactions and recurrence . Results The levels of CD4+ , CD8+ , CD3+ , CD4+ /CD8+ , INF-γ, IL-2, IL-6 and </w:t>
      </w:r>
      <w:proofErr w:type="spellStart"/>
      <w:r>
        <w:t>IgE</w:t>
      </w:r>
      <w:proofErr w:type="spellEnd"/>
      <w:r>
        <w:t xml:space="preserve"> showed no </w:t>
      </w:r>
      <w:proofErr w:type="spellStart"/>
      <w:r>
        <w:t>signifi</w:t>
      </w:r>
      <w:proofErr w:type="spellEnd"/>
      <w:r>
        <w:t xml:space="preserve"> cant diff </w:t>
      </w:r>
      <w:proofErr w:type="spellStart"/>
      <w:r>
        <w:t>erence</w:t>
      </w:r>
      <w:proofErr w:type="spellEnd"/>
      <w:r>
        <w:t xml:space="preserve"> </w:t>
      </w:r>
      <w:r>
        <w:lastRenderedPageBreak/>
        <w:t>between the groups before treatment (P</w:t>
      </w:r>
      <w:r>
        <w:t>＞</w:t>
      </w:r>
      <w:r>
        <w:t xml:space="preserve">0.05). After treatment, the clinical response rate and The levels of CD4+ , CD3+ , CD4+ /CD8+ , INF-γ, IL-2, IL-6 and </w:t>
      </w:r>
      <w:proofErr w:type="spellStart"/>
      <w:r>
        <w:t>IgE</w:t>
      </w:r>
      <w:proofErr w:type="spellEnd"/>
      <w:r>
        <w:t xml:space="preserve"> in the study group were higher than those in the control group ,and the CD8+ levels were lower than the control group(P</w:t>
      </w:r>
      <w:r>
        <w:t>＜</w:t>
      </w:r>
      <w:r>
        <w:t>0.05). The incidence of adverse reactions in the study group was lower than that in the control group (P</w:t>
      </w:r>
      <w:r>
        <w:t>＞</w:t>
      </w:r>
      <w:r>
        <w:t xml:space="preserve">0.05). Conclusion Yu </w:t>
      </w:r>
      <w:proofErr w:type="spellStart"/>
      <w:r>
        <w:t>Pingfeng</w:t>
      </w:r>
      <w:proofErr w:type="spellEnd"/>
      <w:r>
        <w:t xml:space="preserve"> Granules combined with liquid nitrogen cryotherapy is eff </w:t>
      </w:r>
      <w:proofErr w:type="spellStart"/>
      <w:r>
        <w:t>ective</w:t>
      </w:r>
      <w:proofErr w:type="spellEnd"/>
      <w:r>
        <w:t xml:space="preserve"> in the treatment of verruca vulgaris, which can improve the patients’ immune function, with good safety. </w:t>
      </w:r>
    </w:p>
    <w:p w14:paraId="5F4469E5" w14:textId="77777777" w:rsidR="00C01821" w:rsidRDefault="00C01821" w:rsidP="00C01821"/>
    <w:p w14:paraId="7E1D6C62" w14:textId="69182B5C" w:rsidR="004B5E3D" w:rsidRPr="00C01821" w:rsidRDefault="00C01821" w:rsidP="00C01821">
      <w:r>
        <w:t xml:space="preserve">Key words: Yu </w:t>
      </w:r>
      <w:proofErr w:type="spellStart"/>
      <w:r>
        <w:t>Pingfeng</w:t>
      </w:r>
      <w:proofErr w:type="spellEnd"/>
      <w:r>
        <w:t xml:space="preserve"> Granules; liquid nitrogen cryotherapy; verruca vulgaris; immune function; </w:t>
      </w:r>
      <w:proofErr w:type="spellStart"/>
      <w:r>
        <w:t>effi</w:t>
      </w:r>
      <w:proofErr w:type="spellEnd"/>
      <w:r>
        <w:t xml:space="preserve"> </w:t>
      </w:r>
      <w:proofErr w:type="spellStart"/>
      <w:r>
        <w:t>cacy</w:t>
      </w:r>
      <w:proofErr w:type="spellEnd"/>
      <w:r>
        <w:t>; adverse reaction</w:t>
      </w:r>
    </w:p>
    <w:sectPr w:rsidR="004B5E3D" w:rsidRPr="00C018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D2092" w14:textId="77777777" w:rsidR="001C71A7" w:rsidRDefault="001C71A7" w:rsidP="00762353">
      <w:r>
        <w:separator/>
      </w:r>
    </w:p>
  </w:endnote>
  <w:endnote w:type="continuationSeparator" w:id="0">
    <w:p w14:paraId="14243958" w14:textId="77777777" w:rsidR="001C71A7" w:rsidRDefault="001C71A7" w:rsidP="0076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600F3B0-C1C2-41B3-B767-9B8900F406C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A880E" w14:textId="77777777" w:rsidR="001C71A7" w:rsidRDefault="001C71A7" w:rsidP="00762353">
      <w:r>
        <w:separator/>
      </w:r>
    </w:p>
  </w:footnote>
  <w:footnote w:type="continuationSeparator" w:id="0">
    <w:p w14:paraId="3E19651C" w14:textId="77777777" w:rsidR="001C71A7" w:rsidRDefault="001C71A7" w:rsidP="007623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7EFA"/>
    <w:rsid w:val="00040F87"/>
    <w:rsid w:val="0004193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C0187"/>
    <w:rsid w:val="000C2277"/>
    <w:rsid w:val="000C2A37"/>
    <w:rsid w:val="000D1530"/>
    <w:rsid w:val="000D38A0"/>
    <w:rsid w:val="000D4D39"/>
    <w:rsid w:val="000E46FC"/>
    <w:rsid w:val="000F0490"/>
    <w:rsid w:val="000F500C"/>
    <w:rsid w:val="000F6A46"/>
    <w:rsid w:val="0010184F"/>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67F26"/>
    <w:rsid w:val="00173B80"/>
    <w:rsid w:val="00176A55"/>
    <w:rsid w:val="00180761"/>
    <w:rsid w:val="0018087E"/>
    <w:rsid w:val="00182443"/>
    <w:rsid w:val="00185043"/>
    <w:rsid w:val="00185246"/>
    <w:rsid w:val="00186512"/>
    <w:rsid w:val="00192868"/>
    <w:rsid w:val="00195348"/>
    <w:rsid w:val="001964BB"/>
    <w:rsid w:val="001A1F94"/>
    <w:rsid w:val="001A1FB2"/>
    <w:rsid w:val="001C71A7"/>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7991"/>
    <w:rsid w:val="002327A2"/>
    <w:rsid w:val="00232F23"/>
    <w:rsid w:val="00244885"/>
    <w:rsid w:val="00251F95"/>
    <w:rsid w:val="00255034"/>
    <w:rsid w:val="00263916"/>
    <w:rsid w:val="002773D8"/>
    <w:rsid w:val="00277E64"/>
    <w:rsid w:val="00282AC2"/>
    <w:rsid w:val="00285C8C"/>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423DD"/>
    <w:rsid w:val="00342627"/>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036A"/>
    <w:rsid w:val="003F23CE"/>
    <w:rsid w:val="003F48EE"/>
    <w:rsid w:val="003F4CAE"/>
    <w:rsid w:val="0040270F"/>
    <w:rsid w:val="00411CA3"/>
    <w:rsid w:val="00414CCC"/>
    <w:rsid w:val="00415A9A"/>
    <w:rsid w:val="00415ED0"/>
    <w:rsid w:val="00421391"/>
    <w:rsid w:val="00426B46"/>
    <w:rsid w:val="00434045"/>
    <w:rsid w:val="0043616F"/>
    <w:rsid w:val="0044367C"/>
    <w:rsid w:val="00443808"/>
    <w:rsid w:val="00444503"/>
    <w:rsid w:val="0045640A"/>
    <w:rsid w:val="004601E5"/>
    <w:rsid w:val="004619C3"/>
    <w:rsid w:val="004711B3"/>
    <w:rsid w:val="0047158A"/>
    <w:rsid w:val="00473D06"/>
    <w:rsid w:val="0047491C"/>
    <w:rsid w:val="004779A7"/>
    <w:rsid w:val="00481E1B"/>
    <w:rsid w:val="00490408"/>
    <w:rsid w:val="004915A9"/>
    <w:rsid w:val="004A469A"/>
    <w:rsid w:val="004A5C83"/>
    <w:rsid w:val="004B03B8"/>
    <w:rsid w:val="004B1AA2"/>
    <w:rsid w:val="004B5E3D"/>
    <w:rsid w:val="004B6006"/>
    <w:rsid w:val="004C6DA4"/>
    <w:rsid w:val="004D49F2"/>
    <w:rsid w:val="004D7463"/>
    <w:rsid w:val="004D7881"/>
    <w:rsid w:val="004D7BA8"/>
    <w:rsid w:val="004E6D8C"/>
    <w:rsid w:val="004E73D3"/>
    <w:rsid w:val="004F5533"/>
    <w:rsid w:val="004F7AA4"/>
    <w:rsid w:val="005047F6"/>
    <w:rsid w:val="0050651D"/>
    <w:rsid w:val="00510F68"/>
    <w:rsid w:val="0051694C"/>
    <w:rsid w:val="00525F2A"/>
    <w:rsid w:val="00532FBD"/>
    <w:rsid w:val="005361F7"/>
    <w:rsid w:val="00537BDA"/>
    <w:rsid w:val="00546586"/>
    <w:rsid w:val="00560801"/>
    <w:rsid w:val="0056306C"/>
    <w:rsid w:val="005655F2"/>
    <w:rsid w:val="005659C6"/>
    <w:rsid w:val="00584D48"/>
    <w:rsid w:val="00591EB0"/>
    <w:rsid w:val="005955FA"/>
    <w:rsid w:val="005C7FF4"/>
    <w:rsid w:val="005D358D"/>
    <w:rsid w:val="005D37D9"/>
    <w:rsid w:val="005D4F52"/>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253C"/>
    <w:rsid w:val="00633E34"/>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E1E1A"/>
    <w:rsid w:val="007E589B"/>
    <w:rsid w:val="007F018C"/>
    <w:rsid w:val="007F47E9"/>
    <w:rsid w:val="007F4FF6"/>
    <w:rsid w:val="0080285A"/>
    <w:rsid w:val="008061D5"/>
    <w:rsid w:val="00807015"/>
    <w:rsid w:val="00817CC3"/>
    <w:rsid w:val="00823940"/>
    <w:rsid w:val="00824F21"/>
    <w:rsid w:val="00830FBE"/>
    <w:rsid w:val="00835F67"/>
    <w:rsid w:val="008622EF"/>
    <w:rsid w:val="00873BFE"/>
    <w:rsid w:val="00882EF6"/>
    <w:rsid w:val="008844D5"/>
    <w:rsid w:val="008853BA"/>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E7A26"/>
    <w:rsid w:val="008F2E45"/>
    <w:rsid w:val="008F667A"/>
    <w:rsid w:val="00902921"/>
    <w:rsid w:val="009050DA"/>
    <w:rsid w:val="00905B1F"/>
    <w:rsid w:val="0091183A"/>
    <w:rsid w:val="0091684C"/>
    <w:rsid w:val="00927650"/>
    <w:rsid w:val="00931DB6"/>
    <w:rsid w:val="00934DDE"/>
    <w:rsid w:val="009404BD"/>
    <w:rsid w:val="009438FB"/>
    <w:rsid w:val="0094557B"/>
    <w:rsid w:val="00950DEC"/>
    <w:rsid w:val="00951654"/>
    <w:rsid w:val="00953A14"/>
    <w:rsid w:val="00955CA6"/>
    <w:rsid w:val="009603BA"/>
    <w:rsid w:val="00962095"/>
    <w:rsid w:val="00964521"/>
    <w:rsid w:val="009659C7"/>
    <w:rsid w:val="00976F02"/>
    <w:rsid w:val="00981103"/>
    <w:rsid w:val="00981477"/>
    <w:rsid w:val="00987C6A"/>
    <w:rsid w:val="009917DB"/>
    <w:rsid w:val="00991FEF"/>
    <w:rsid w:val="009A6831"/>
    <w:rsid w:val="009B2830"/>
    <w:rsid w:val="009B47E6"/>
    <w:rsid w:val="009B6ABE"/>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71FCC"/>
    <w:rsid w:val="00A8531D"/>
    <w:rsid w:val="00A86CAC"/>
    <w:rsid w:val="00A87C2B"/>
    <w:rsid w:val="00A967E3"/>
    <w:rsid w:val="00AA1E7F"/>
    <w:rsid w:val="00AA2214"/>
    <w:rsid w:val="00AA70CC"/>
    <w:rsid w:val="00AA7A1E"/>
    <w:rsid w:val="00AB6E44"/>
    <w:rsid w:val="00AC2B04"/>
    <w:rsid w:val="00AC432F"/>
    <w:rsid w:val="00AC457F"/>
    <w:rsid w:val="00AC7C12"/>
    <w:rsid w:val="00AD0BC6"/>
    <w:rsid w:val="00AD1297"/>
    <w:rsid w:val="00AD19AC"/>
    <w:rsid w:val="00AD48A0"/>
    <w:rsid w:val="00AD7C2D"/>
    <w:rsid w:val="00AE2938"/>
    <w:rsid w:val="00AE297F"/>
    <w:rsid w:val="00B114A0"/>
    <w:rsid w:val="00B157C6"/>
    <w:rsid w:val="00B20220"/>
    <w:rsid w:val="00B20E9B"/>
    <w:rsid w:val="00B22D7E"/>
    <w:rsid w:val="00B24EE5"/>
    <w:rsid w:val="00B25FB7"/>
    <w:rsid w:val="00B26738"/>
    <w:rsid w:val="00B26DEA"/>
    <w:rsid w:val="00B271C8"/>
    <w:rsid w:val="00B37888"/>
    <w:rsid w:val="00B44B30"/>
    <w:rsid w:val="00B51139"/>
    <w:rsid w:val="00B530E8"/>
    <w:rsid w:val="00B53D93"/>
    <w:rsid w:val="00B54C60"/>
    <w:rsid w:val="00B55305"/>
    <w:rsid w:val="00B5763D"/>
    <w:rsid w:val="00B578E3"/>
    <w:rsid w:val="00B730F4"/>
    <w:rsid w:val="00B75808"/>
    <w:rsid w:val="00B779CB"/>
    <w:rsid w:val="00B8339A"/>
    <w:rsid w:val="00B933C7"/>
    <w:rsid w:val="00B9586A"/>
    <w:rsid w:val="00B97854"/>
    <w:rsid w:val="00BA24F8"/>
    <w:rsid w:val="00BA2959"/>
    <w:rsid w:val="00BA2F9F"/>
    <w:rsid w:val="00BA30DF"/>
    <w:rsid w:val="00BA4D15"/>
    <w:rsid w:val="00BB30CE"/>
    <w:rsid w:val="00BC08C2"/>
    <w:rsid w:val="00BC2D8C"/>
    <w:rsid w:val="00BD3E38"/>
    <w:rsid w:val="00BD68CB"/>
    <w:rsid w:val="00BE0EBF"/>
    <w:rsid w:val="00C01821"/>
    <w:rsid w:val="00C02216"/>
    <w:rsid w:val="00C02C4F"/>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3750"/>
    <w:rsid w:val="00DC50A7"/>
    <w:rsid w:val="00DD033A"/>
    <w:rsid w:val="00DD2B56"/>
    <w:rsid w:val="00DD3209"/>
    <w:rsid w:val="00DD3ABA"/>
    <w:rsid w:val="00DD538C"/>
    <w:rsid w:val="00DF1825"/>
    <w:rsid w:val="00DF3111"/>
    <w:rsid w:val="00E00A1C"/>
    <w:rsid w:val="00E04F11"/>
    <w:rsid w:val="00E05EE3"/>
    <w:rsid w:val="00E07BDE"/>
    <w:rsid w:val="00E12AD1"/>
    <w:rsid w:val="00E17ED0"/>
    <w:rsid w:val="00E21237"/>
    <w:rsid w:val="00E21D7D"/>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64DD"/>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 w:type="paragraph" w:styleId="a4">
    <w:name w:val="header"/>
    <w:basedOn w:val="a"/>
    <w:link w:val="a5"/>
    <w:uiPriority w:val="99"/>
    <w:unhideWhenUsed/>
    <w:rsid w:val="00762353"/>
    <w:pPr>
      <w:tabs>
        <w:tab w:val="center" w:pos="4153"/>
        <w:tab w:val="right" w:pos="8306"/>
      </w:tabs>
      <w:snapToGrid w:val="0"/>
      <w:jc w:val="center"/>
    </w:pPr>
    <w:rPr>
      <w:sz w:val="18"/>
      <w:szCs w:val="18"/>
    </w:rPr>
  </w:style>
  <w:style w:type="character" w:customStyle="1" w:styleId="a5">
    <w:name w:val="页眉 字符"/>
    <w:basedOn w:val="a0"/>
    <w:link w:val="a4"/>
    <w:uiPriority w:val="99"/>
    <w:rsid w:val="00762353"/>
    <w:rPr>
      <w:rFonts w:ascii="Calibri" w:hAnsi="Calibri"/>
      <w:kern w:val="2"/>
      <w:sz w:val="18"/>
      <w:szCs w:val="18"/>
    </w:rPr>
  </w:style>
  <w:style w:type="paragraph" w:styleId="a6">
    <w:name w:val="footer"/>
    <w:basedOn w:val="a"/>
    <w:link w:val="a7"/>
    <w:uiPriority w:val="99"/>
    <w:unhideWhenUsed/>
    <w:rsid w:val="00762353"/>
    <w:pPr>
      <w:tabs>
        <w:tab w:val="center" w:pos="4153"/>
        <w:tab w:val="right" w:pos="8306"/>
      </w:tabs>
      <w:snapToGrid w:val="0"/>
      <w:jc w:val="left"/>
    </w:pPr>
    <w:rPr>
      <w:sz w:val="18"/>
      <w:szCs w:val="18"/>
    </w:rPr>
  </w:style>
  <w:style w:type="character" w:customStyle="1" w:styleId="a7">
    <w:name w:val="页脚 字符"/>
    <w:basedOn w:val="a0"/>
    <w:link w:val="a6"/>
    <w:uiPriority w:val="99"/>
    <w:rsid w:val="00762353"/>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9840</TotalTime>
  <Pages>2</Pages>
  <Words>445</Words>
  <Characters>2543</Characters>
  <Application>Microsoft Office Word</Application>
  <DocSecurity>0</DocSecurity>
  <Lines>21</Lines>
  <Paragraphs>5</Paragraphs>
  <ScaleCrop>false</ScaleCrop>
  <Company/>
  <LinksUpToDate>false</LinksUpToDate>
  <CharactersWithSpaces>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1525</cp:revision>
  <dcterms:created xsi:type="dcterms:W3CDTF">2022-07-04T07:48:00Z</dcterms:created>
  <dcterms:modified xsi:type="dcterms:W3CDTF">2023-09-04T07:45:00Z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