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D0EC38" w14:textId="77777777" w:rsidR="00B82C65" w:rsidRDefault="00B82C65" w:rsidP="00B82C65">
      <w:r>
        <w:t>透明质酸关节腔注射联合牙咬合</w:t>
      </w:r>
      <w:proofErr w:type="gramStart"/>
      <w:r>
        <w:t>板治疗</w:t>
      </w:r>
      <w:proofErr w:type="gramEnd"/>
      <w:r>
        <w:t>颞下颌关节不可复性盘前移的疗效及美学效果评价</w:t>
      </w:r>
      <w:r>
        <w:t xml:space="preserve"> </w:t>
      </w:r>
    </w:p>
    <w:p w14:paraId="646B121F" w14:textId="77777777" w:rsidR="00B82C65" w:rsidRDefault="00B82C65" w:rsidP="00B82C65"/>
    <w:p w14:paraId="611EA857" w14:textId="77777777" w:rsidR="00B82C65" w:rsidRDefault="00B82C65" w:rsidP="00B82C65">
      <w:r>
        <w:t>苟学立</w:t>
      </w:r>
      <w:r>
        <w:t xml:space="preserve">1 </w:t>
      </w:r>
      <w:r>
        <w:t>，刘</w:t>
      </w:r>
      <w:r>
        <w:t xml:space="preserve"> </w:t>
      </w:r>
      <w:proofErr w:type="gramStart"/>
      <w:r>
        <w:t>娥</w:t>
      </w:r>
      <w:proofErr w:type="gramEnd"/>
      <w:r>
        <w:t xml:space="preserve">2 </w:t>
      </w:r>
      <w:r>
        <w:t>，侯大为</w:t>
      </w:r>
      <w:r>
        <w:t xml:space="preserve">1 </w:t>
      </w:r>
      <w:r>
        <w:t>，刘瑞敏</w:t>
      </w:r>
      <w:r>
        <w:t xml:space="preserve">1 </w:t>
      </w:r>
    </w:p>
    <w:p w14:paraId="07C13589" w14:textId="77777777" w:rsidR="00B82C65" w:rsidRDefault="00B82C65" w:rsidP="00B82C65"/>
    <w:p w14:paraId="69896714" w14:textId="702CF508" w:rsidR="00B82C65" w:rsidRDefault="00B82C65" w:rsidP="00B82C65">
      <w:r>
        <w:t>（甘肃省人民医院</w:t>
      </w:r>
      <w:r>
        <w:t xml:space="preserve"> 1.</w:t>
      </w:r>
      <w:r>
        <w:t>口腔颌面外科；</w:t>
      </w:r>
      <w:r>
        <w:t>2.</w:t>
      </w:r>
      <w:r>
        <w:t>口腔内科</w:t>
      </w:r>
      <w:r>
        <w:t xml:space="preserve"> </w:t>
      </w:r>
      <w:r>
        <w:t>甘肃</w:t>
      </w:r>
      <w:r>
        <w:t xml:space="preserve"> </w:t>
      </w:r>
      <w:r>
        <w:t>兰州</w:t>
      </w:r>
      <w:r>
        <w:t xml:space="preserve"> 730000</w:t>
      </w:r>
      <w:r>
        <w:t>）</w:t>
      </w:r>
      <w:r>
        <w:t xml:space="preserve"> </w:t>
      </w:r>
    </w:p>
    <w:p w14:paraId="751D21A0" w14:textId="77777777" w:rsidR="00B82C65" w:rsidRDefault="00B82C65" w:rsidP="00B82C65"/>
    <w:p w14:paraId="2C22BE86" w14:textId="77777777" w:rsidR="00B82C65" w:rsidRDefault="00B82C65" w:rsidP="00B82C65">
      <w:r>
        <w:t>[</w:t>
      </w:r>
      <w:r>
        <w:t>摘要</w:t>
      </w:r>
      <w:r>
        <w:t>]</w:t>
      </w:r>
      <w:r>
        <w:t>目的：探讨透明质酸（</w:t>
      </w:r>
      <w:r>
        <w:t>Hyaluronic acid</w:t>
      </w:r>
      <w:r>
        <w:t>，</w:t>
      </w:r>
      <w:r>
        <w:t>HA</w:t>
      </w:r>
      <w:r>
        <w:t>）关节腔注射联合牙咬合</w:t>
      </w:r>
      <w:proofErr w:type="gramStart"/>
      <w:r>
        <w:t>板治疗</w:t>
      </w:r>
      <w:proofErr w:type="gramEnd"/>
      <w:r>
        <w:t>颞下颌关节不可复性盘前移（</w:t>
      </w:r>
      <w:r>
        <w:t>Anterior disc displacement without reduction</w:t>
      </w:r>
      <w:r>
        <w:t>，</w:t>
      </w:r>
      <w:proofErr w:type="spellStart"/>
      <w:r>
        <w:t>ADDWoR</w:t>
      </w:r>
      <w:proofErr w:type="spellEnd"/>
      <w:r>
        <w:t>）患者的疗效及临床美学效果。方法：选择</w:t>
      </w:r>
      <w:r>
        <w:t>2015</w:t>
      </w:r>
      <w:r>
        <w:t>年</w:t>
      </w:r>
      <w:r>
        <w:t>1</w:t>
      </w:r>
      <w:r>
        <w:t>月</w:t>
      </w:r>
      <w:r>
        <w:t>-2021</w:t>
      </w:r>
      <w:r>
        <w:t>年</w:t>
      </w:r>
      <w:r>
        <w:t>12</w:t>
      </w:r>
      <w:r>
        <w:t>月笔者</w:t>
      </w:r>
      <w:proofErr w:type="gramStart"/>
      <w:r>
        <w:t>医</w:t>
      </w:r>
      <w:proofErr w:type="gramEnd"/>
      <w:r>
        <w:t xml:space="preserve"> </w:t>
      </w:r>
      <w:r>
        <w:t>院口腔科门诊收治的</w:t>
      </w:r>
      <w:r>
        <w:t>100</w:t>
      </w:r>
      <w:r>
        <w:t>例</w:t>
      </w:r>
      <w:proofErr w:type="spellStart"/>
      <w:r>
        <w:t>ADDWoR</w:t>
      </w:r>
      <w:proofErr w:type="spellEnd"/>
      <w:r>
        <w:t>患者，采用信封法将患者随机分为</w:t>
      </w:r>
      <w:r>
        <w:t>HA</w:t>
      </w:r>
      <w:r>
        <w:t>组和对照组，每组</w:t>
      </w:r>
      <w:r>
        <w:t>50</w:t>
      </w:r>
      <w:r>
        <w:t>例，对照组给予牙咬合板治疗，</w:t>
      </w:r>
      <w:r>
        <w:t xml:space="preserve"> HA</w:t>
      </w:r>
      <w:proofErr w:type="gramStart"/>
      <w:r>
        <w:t>组予以</w:t>
      </w:r>
      <w:proofErr w:type="gramEnd"/>
      <w:r>
        <w:t>HA</w:t>
      </w:r>
      <w:r>
        <w:t>关节腔注射联合牙咬合板治疗。比较两组患者疼痛视觉模拟评分（</w:t>
      </w:r>
      <w:r>
        <w:t>Visual analogue pain score</w:t>
      </w:r>
      <w:r>
        <w:t>，</w:t>
      </w:r>
      <w:r>
        <w:t>VAS</w:t>
      </w:r>
      <w:r>
        <w:t>）、</w:t>
      </w:r>
      <w:proofErr w:type="gramStart"/>
      <w:r>
        <w:t>颞</w:t>
      </w:r>
      <w:proofErr w:type="gramEnd"/>
      <w:r>
        <w:t>下</w:t>
      </w:r>
      <w:r>
        <w:t xml:space="preserve"> </w:t>
      </w:r>
      <w:r>
        <w:t>颌关节紊乱指数（</w:t>
      </w:r>
      <w:r>
        <w:t xml:space="preserve">Craniomandibular </w:t>
      </w:r>
      <w:proofErr w:type="spellStart"/>
      <w:r>
        <w:t>index,CMI</w:t>
      </w:r>
      <w:proofErr w:type="spellEnd"/>
      <w:r>
        <w:t>）评分、下颌运动功能、临床美学指标及临床疗效。结果：治疗后，两组患</w:t>
      </w:r>
      <w:r>
        <w:t xml:space="preserve"> </w:t>
      </w:r>
      <w:r>
        <w:t>者</w:t>
      </w:r>
      <w:r>
        <w:t>VAS</w:t>
      </w:r>
      <w:r>
        <w:t>、</w:t>
      </w:r>
      <w:r>
        <w:t>CMI</w:t>
      </w:r>
      <w:r>
        <w:t>评分均低于治疗前，且</w:t>
      </w:r>
      <w:r>
        <w:t>HA</w:t>
      </w:r>
      <w:r>
        <w:t>组显著低于对照组（</w:t>
      </w:r>
      <w:r>
        <w:t>P</w:t>
      </w:r>
      <w:r>
        <w:t>＜</w:t>
      </w:r>
      <w:r>
        <w:t>0.05</w:t>
      </w:r>
      <w:r>
        <w:t>）；两组患者最大主动开口度、左侧偏动距离、右侧偏动</w:t>
      </w:r>
      <w:r>
        <w:t xml:space="preserve"> </w:t>
      </w:r>
      <w:r>
        <w:t>距离、下颌前伸距离均优于治疗前，且</w:t>
      </w:r>
      <w:r>
        <w:t>HA</w:t>
      </w:r>
      <w:r>
        <w:t>组显著优于对照组（</w:t>
      </w:r>
      <w:r>
        <w:t>P</w:t>
      </w:r>
      <w:r>
        <w:t>＜</w:t>
      </w:r>
      <w:r>
        <w:t>0.05</w:t>
      </w:r>
      <w:r>
        <w:t>）；两组患者髁突高度、关节腔间隙宽度均大于治疗</w:t>
      </w:r>
      <w:r>
        <w:t xml:space="preserve"> </w:t>
      </w:r>
      <w:r>
        <w:t>前，且</w:t>
      </w:r>
      <w:r>
        <w:t>HA</w:t>
      </w:r>
      <w:r>
        <w:t>组显著大于对照组（</w:t>
      </w:r>
      <w:r>
        <w:t>P</w:t>
      </w:r>
      <w:r>
        <w:t>＜</w:t>
      </w:r>
      <w:r>
        <w:t>0.05</w:t>
      </w:r>
      <w:r>
        <w:t>）；治疗后</w:t>
      </w:r>
      <w:r>
        <w:t>HA</w:t>
      </w:r>
      <w:r>
        <w:t>组临床疗效有效率为</w:t>
      </w:r>
      <w:r>
        <w:t>82.00%</w:t>
      </w:r>
      <w:r>
        <w:t>，高于对照组的</w:t>
      </w:r>
      <w:r>
        <w:t>64.00%</w:t>
      </w:r>
      <w:r>
        <w:t>，差异有统计学意义</w:t>
      </w:r>
      <w:r>
        <w:t xml:space="preserve"> </w:t>
      </w:r>
      <w:r>
        <w:t>（</w:t>
      </w:r>
      <w:r>
        <w:t>P</w:t>
      </w:r>
      <w:r>
        <w:t>＜</w:t>
      </w:r>
      <w:r>
        <w:t>0.05</w:t>
      </w:r>
      <w:r>
        <w:t>）。结论：</w:t>
      </w:r>
      <w:r>
        <w:t>HA</w:t>
      </w:r>
      <w:r>
        <w:t>关节腔注射联合牙咬合</w:t>
      </w:r>
      <w:proofErr w:type="gramStart"/>
      <w:r>
        <w:t>板治疗</w:t>
      </w:r>
      <w:proofErr w:type="spellStart"/>
      <w:proofErr w:type="gramEnd"/>
      <w:r>
        <w:t>ADDWoR</w:t>
      </w:r>
      <w:proofErr w:type="spellEnd"/>
      <w:r>
        <w:t>，可有效缓解患者疼痛，改善其颞下颌关节紊乱情况及下颌运</w:t>
      </w:r>
      <w:r>
        <w:t xml:space="preserve"> </w:t>
      </w:r>
      <w:r>
        <w:t>动功能，促进面型恢复，疗效显著，值得推广。</w:t>
      </w:r>
    </w:p>
    <w:p w14:paraId="670FB9F9" w14:textId="77777777" w:rsidR="00B82C65" w:rsidRDefault="00B82C65" w:rsidP="00B82C65"/>
    <w:p w14:paraId="7DEAA7B9" w14:textId="77777777" w:rsidR="00B82C65" w:rsidRDefault="00B82C65" w:rsidP="00B82C65"/>
    <w:p w14:paraId="3944921D" w14:textId="77777777" w:rsidR="00B82C65" w:rsidRDefault="00B82C65" w:rsidP="00B82C65">
      <w:pPr>
        <w:rPr>
          <w:rFonts w:hint="eastAsia"/>
        </w:rPr>
      </w:pPr>
    </w:p>
    <w:p w14:paraId="41B85F4D" w14:textId="615E68E3" w:rsidR="00BE6792" w:rsidRDefault="00B82C65" w:rsidP="00B82C65">
      <w:r>
        <w:t xml:space="preserve"> [</w:t>
      </w:r>
      <w:r>
        <w:t>关键词</w:t>
      </w:r>
      <w:r>
        <w:t>]</w:t>
      </w:r>
      <w:r>
        <w:t>透明质酸；牙咬合板；颞下颌关节紊乱病；不可复性盘前移位</w:t>
      </w:r>
      <w:r>
        <w:t xml:space="preserve"> [</w:t>
      </w:r>
      <w:r>
        <w:t>中图分类号</w:t>
      </w:r>
      <w:r>
        <w:t>]R782.6 [</w:t>
      </w:r>
      <w:r>
        <w:t>文献标志码</w:t>
      </w:r>
      <w:r>
        <w:t>]A [</w:t>
      </w:r>
      <w:r>
        <w:t>文章编号</w:t>
      </w:r>
      <w:r>
        <w:t>]1008-6455</w:t>
      </w:r>
      <w:r>
        <w:t>（</w:t>
      </w:r>
      <w:r>
        <w:t>2023</w:t>
      </w:r>
      <w:r>
        <w:t>）</w:t>
      </w:r>
      <w:r>
        <w:t>09-0125-05</w:t>
      </w:r>
    </w:p>
    <w:p w14:paraId="02C5DC48" w14:textId="77777777" w:rsidR="00B82C65" w:rsidRDefault="00B82C65" w:rsidP="00B82C65"/>
    <w:p w14:paraId="568DC02B" w14:textId="77777777" w:rsidR="00B82C65" w:rsidRDefault="00B82C65" w:rsidP="00B82C65"/>
    <w:p w14:paraId="1C833A20" w14:textId="77777777" w:rsidR="001933BD" w:rsidRDefault="00B82C65" w:rsidP="00B82C65">
      <w:r>
        <w:t xml:space="preserve">Evaluation of the Curative Effect and Clinical Aesthetic Effect of Intra-articular Injection of Hyaluronic Acid Combined with Biteplate in the Treatment of Anterior Disc Displacement without Reduction </w:t>
      </w:r>
    </w:p>
    <w:p w14:paraId="16F1FAAA" w14:textId="77777777" w:rsidR="001933BD" w:rsidRDefault="001933BD" w:rsidP="00B82C65"/>
    <w:p w14:paraId="16990ED0" w14:textId="7159A3E8" w:rsidR="001933BD" w:rsidRDefault="00B82C65" w:rsidP="00B82C65">
      <w:r>
        <w:t>GOU Xueli</w:t>
      </w:r>
      <w:proofErr w:type="gramStart"/>
      <w:r>
        <w:t>1 ,LIU</w:t>
      </w:r>
      <w:proofErr w:type="gramEnd"/>
      <w:r>
        <w:t xml:space="preserve"> E 2 ,HOU Dawei1 ,LIU Ruimin1</w:t>
      </w:r>
    </w:p>
    <w:p w14:paraId="2F8E504B" w14:textId="77777777" w:rsidR="001933BD" w:rsidRDefault="001933BD" w:rsidP="00B82C65"/>
    <w:p w14:paraId="233A6785" w14:textId="08DA08C0" w:rsidR="001933BD" w:rsidRDefault="00B82C65" w:rsidP="00B82C65">
      <w:r>
        <w:t xml:space="preserve"> (</w:t>
      </w:r>
      <w:proofErr w:type="gramStart"/>
      <w:r>
        <w:t>1.Department</w:t>
      </w:r>
      <w:proofErr w:type="gramEnd"/>
      <w:r>
        <w:t xml:space="preserve"> of Oral and Maxillofacial Surgery; 2.Department of Oral </w:t>
      </w:r>
      <w:proofErr w:type="spellStart"/>
      <w:r>
        <w:t>Medicine,Gansu</w:t>
      </w:r>
      <w:proofErr w:type="spellEnd"/>
      <w:r>
        <w:t xml:space="preserve"> Provincial People's </w:t>
      </w:r>
      <w:proofErr w:type="spellStart"/>
      <w:r>
        <w:t>Hospital,Lanzhou</w:t>
      </w:r>
      <w:proofErr w:type="spellEnd"/>
      <w:r>
        <w:t xml:space="preserve"> 730000,Gansu,China)</w:t>
      </w:r>
    </w:p>
    <w:p w14:paraId="6F52C816" w14:textId="77777777" w:rsidR="001933BD" w:rsidRDefault="001933BD" w:rsidP="00B82C65"/>
    <w:p w14:paraId="349C7414" w14:textId="12A216D6" w:rsidR="00B82C65" w:rsidRDefault="00B82C65" w:rsidP="00B82C65">
      <w:r>
        <w:t xml:space="preserve"> Abstract: Objective The aim of this study was to investigate the curative eff </w:t>
      </w:r>
      <w:proofErr w:type="spellStart"/>
      <w:r>
        <w:t>ect</w:t>
      </w:r>
      <w:proofErr w:type="spellEnd"/>
      <w:r>
        <w:t xml:space="preserve"> and clinical aesthetic eff </w:t>
      </w:r>
      <w:proofErr w:type="spellStart"/>
      <w:r>
        <w:t>ect</w:t>
      </w:r>
      <w:proofErr w:type="spellEnd"/>
      <w:r>
        <w:t xml:space="preserve"> of intra-articular injection of hyaluronic acid (HA) combined with biteplate in the treatment of anterior disc displacement without reduction (</w:t>
      </w:r>
      <w:proofErr w:type="spellStart"/>
      <w:r>
        <w:t>ADDWoR</w:t>
      </w:r>
      <w:proofErr w:type="spellEnd"/>
      <w:r>
        <w:t xml:space="preserve">). Methods A total of 100 patients with </w:t>
      </w:r>
      <w:proofErr w:type="spellStart"/>
      <w:r>
        <w:t>ADDWoR</w:t>
      </w:r>
      <w:proofErr w:type="spellEnd"/>
      <w:r>
        <w:t xml:space="preserve"> who were admitted to the author’s hospital from January 2015 to December 2021 were selected, and they were randomly divided into a HA group and a control group by envelope method, 50 cases in each group. Patients in the control group were treated with biteplate, and those in the HA group were treated with intra-articular injection of HA combined with biteplate. The pain Visual analogue scale (VAS) score, craniomandibular index (CMI) score, mandibular motor function, clinical aesthetic indicators and clinical eff </w:t>
      </w:r>
      <w:proofErr w:type="spellStart"/>
      <w:r>
        <w:t>ect</w:t>
      </w:r>
      <w:proofErr w:type="spellEnd"/>
      <w:r>
        <w:t xml:space="preserve"> were compared </w:t>
      </w:r>
      <w:r>
        <w:lastRenderedPageBreak/>
        <w:t xml:space="preserve">between the two groups. Results After treatment, the VAS scores and CMI scores of the two groups decreased, and the HA group had </w:t>
      </w:r>
      <w:proofErr w:type="spellStart"/>
      <w:r>
        <w:t>signifi</w:t>
      </w:r>
      <w:proofErr w:type="spellEnd"/>
      <w:r>
        <w:t xml:space="preserve"> </w:t>
      </w:r>
      <w:proofErr w:type="spellStart"/>
      <w:r>
        <w:t>cantly</w:t>
      </w:r>
      <w:proofErr w:type="spellEnd"/>
      <w:r>
        <w:t xml:space="preserve"> lower scores than the control group (P</w:t>
      </w:r>
      <w:r>
        <w:t>＜</w:t>
      </w:r>
      <w:r>
        <w:t xml:space="preserve">0.05). The maximal mouth opening, left displacement distance, right displacement distance, and mandibular extension distance were improved in the two groups, and these indicators in the HA group were </w:t>
      </w:r>
      <w:proofErr w:type="spellStart"/>
      <w:r>
        <w:t>signifi</w:t>
      </w:r>
      <w:proofErr w:type="spellEnd"/>
      <w:r>
        <w:t xml:space="preserve"> </w:t>
      </w:r>
      <w:proofErr w:type="spellStart"/>
      <w:r>
        <w:t>cantly</w:t>
      </w:r>
      <w:proofErr w:type="spellEnd"/>
      <w:r>
        <w:t xml:space="preserve"> better than those in the control group (P</w:t>
      </w:r>
      <w:r>
        <w:t>＜</w:t>
      </w:r>
      <w:r>
        <w:t xml:space="preserve">0.05). The condylar height and width of joint cavity in both groups increased, and the two in HA group were </w:t>
      </w:r>
      <w:proofErr w:type="spellStart"/>
      <w:r>
        <w:t>signifi</w:t>
      </w:r>
      <w:proofErr w:type="spellEnd"/>
      <w:r>
        <w:t xml:space="preserve"> </w:t>
      </w:r>
      <w:proofErr w:type="spellStart"/>
      <w:r>
        <w:t>cantly</w:t>
      </w:r>
      <w:proofErr w:type="spellEnd"/>
      <w:r>
        <w:t xml:space="preserve"> larger than those in the control group (P</w:t>
      </w:r>
      <w:r>
        <w:t>＜</w:t>
      </w:r>
      <w:r>
        <w:t>0.05). The clinical response rates in the HA group and the control group were 82.00% and 64.00%, respectively (P</w:t>
      </w:r>
      <w:r>
        <w:t>＜</w:t>
      </w:r>
      <w:r>
        <w:t xml:space="preserve">0.05). Conclusion Intra-articular injection of HA combined with biteplate for treating </w:t>
      </w:r>
      <w:proofErr w:type="spellStart"/>
      <w:r>
        <w:t>ADDWoR</w:t>
      </w:r>
      <w:proofErr w:type="spellEnd"/>
      <w:r>
        <w:t xml:space="preserve"> can eff </w:t>
      </w:r>
      <w:proofErr w:type="spellStart"/>
      <w:r>
        <w:t>ectively</w:t>
      </w:r>
      <w:proofErr w:type="spellEnd"/>
      <w:r>
        <w:t xml:space="preserve"> relieve </w:t>
      </w:r>
      <w:proofErr w:type="spellStart"/>
      <w:proofErr w:type="gramStart"/>
      <w:r>
        <w:t>pain,improve</w:t>
      </w:r>
      <w:proofErr w:type="spellEnd"/>
      <w:proofErr w:type="gramEnd"/>
      <w:r>
        <w:t xml:space="preserve"> temporomandibular disorder and mandibular motor function, and promote the recovery of facial shape, with </w:t>
      </w:r>
      <w:proofErr w:type="spellStart"/>
      <w:r>
        <w:t>signifi</w:t>
      </w:r>
      <w:proofErr w:type="spellEnd"/>
      <w:r>
        <w:t xml:space="preserve"> cant eff </w:t>
      </w:r>
      <w:proofErr w:type="spellStart"/>
      <w:r>
        <w:t>ect</w:t>
      </w:r>
      <w:proofErr w:type="spellEnd"/>
      <w:r>
        <w:t xml:space="preserve">. </w:t>
      </w:r>
    </w:p>
    <w:p w14:paraId="23142E0E" w14:textId="77777777" w:rsidR="00B82C65" w:rsidRDefault="00B82C65" w:rsidP="00B82C65"/>
    <w:p w14:paraId="15650FEA" w14:textId="711DE62D" w:rsidR="00B82C65" w:rsidRPr="00B82C65" w:rsidRDefault="00B82C65" w:rsidP="00B82C65">
      <w:r>
        <w:t>Key words: hyaluronic acid; biteplate; temporomandibular joint disorder; anterior disc displacement without reduction</w:t>
      </w:r>
    </w:p>
    <w:sectPr w:rsidR="00B82C65" w:rsidRPr="00B82C6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94D08EE9-7C1A-4BA1-9568-3F778DD20B37}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embedTrueTypeFonts/>
  <w:saveSubset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OTAzOTZhMmZkYjU5OWM3ZGY1ZWRhYTY4NDk2NjY2ZDIifQ=="/>
  </w:docVars>
  <w:rsids>
    <w:rsidRoot w:val="00DF1825"/>
    <w:rsid w:val="000018AF"/>
    <w:rsid w:val="000034BC"/>
    <w:rsid w:val="00004A4D"/>
    <w:rsid w:val="000105D6"/>
    <w:rsid w:val="000126A4"/>
    <w:rsid w:val="0002077B"/>
    <w:rsid w:val="00021F13"/>
    <w:rsid w:val="00027148"/>
    <w:rsid w:val="0003265E"/>
    <w:rsid w:val="00033362"/>
    <w:rsid w:val="00033A09"/>
    <w:rsid w:val="00034882"/>
    <w:rsid w:val="00035F4E"/>
    <w:rsid w:val="000376D2"/>
    <w:rsid w:val="00037EFA"/>
    <w:rsid w:val="00040F87"/>
    <w:rsid w:val="00041933"/>
    <w:rsid w:val="00042383"/>
    <w:rsid w:val="00042B60"/>
    <w:rsid w:val="00043134"/>
    <w:rsid w:val="00043784"/>
    <w:rsid w:val="0005273B"/>
    <w:rsid w:val="00053FB7"/>
    <w:rsid w:val="000552B2"/>
    <w:rsid w:val="00063A05"/>
    <w:rsid w:val="00071D73"/>
    <w:rsid w:val="0007579F"/>
    <w:rsid w:val="00092FC1"/>
    <w:rsid w:val="0009355D"/>
    <w:rsid w:val="00095AB1"/>
    <w:rsid w:val="000963CF"/>
    <w:rsid w:val="000A0067"/>
    <w:rsid w:val="000A13C5"/>
    <w:rsid w:val="000A4400"/>
    <w:rsid w:val="000A7C4F"/>
    <w:rsid w:val="000B1F56"/>
    <w:rsid w:val="000B3CB3"/>
    <w:rsid w:val="000B4D7D"/>
    <w:rsid w:val="000B6B01"/>
    <w:rsid w:val="000C0187"/>
    <w:rsid w:val="000C2277"/>
    <w:rsid w:val="000C2A37"/>
    <w:rsid w:val="000C7C37"/>
    <w:rsid w:val="000D1530"/>
    <w:rsid w:val="000D38A0"/>
    <w:rsid w:val="000D4D39"/>
    <w:rsid w:val="000E46FC"/>
    <w:rsid w:val="000E5F2D"/>
    <w:rsid w:val="000F0490"/>
    <w:rsid w:val="000F500C"/>
    <w:rsid w:val="000F6A46"/>
    <w:rsid w:val="0010184F"/>
    <w:rsid w:val="0011007C"/>
    <w:rsid w:val="00114FA6"/>
    <w:rsid w:val="00120E9C"/>
    <w:rsid w:val="0012241D"/>
    <w:rsid w:val="0013114B"/>
    <w:rsid w:val="001353EA"/>
    <w:rsid w:val="001360E5"/>
    <w:rsid w:val="00137107"/>
    <w:rsid w:val="00137ABE"/>
    <w:rsid w:val="00137CCE"/>
    <w:rsid w:val="001407B9"/>
    <w:rsid w:val="00143E2D"/>
    <w:rsid w:val="00144332"/>
    <w:rsid w:val="001460DE"/>
    <w:rsid w:val="00146F11"/>
    <w:rsid w:val="001516D9"/>
    <w:rsid w:val="00153C4D"/>
    <w:rsid w:val="00161F39"/>
    <w:rsid w:val="00164031"/>
    <w:rsid w:val="00167F26"/>
    <w:rsid w:val="001713E2"/>
    <w:rsid w:val="00173B80"/>
    <w:rsid w:val="00176A55"/>
    <w:rsid w:val="00180761"/>
    <w:rsid w:val="0018087E"/>
    <w:rsid w:val="00182443"/>
    <w:rsid w:val="00185043"/>
    <w:rsid w:val="00185246"/>
    <w:rsid w:val="00186512"/>
    <w:rsid w:val="00192868"/>
    <w:rsid w:val="001933BD"/>
    <w:rsid w:val="00195348"/>
    <w:rsid w:val="001964BB"/>
    <w:rsid w:val="00197CD7"/>
    <w:rsid w:val="001A1F94"/>
    <w:rsid w:val="001A1FB2"/>
    <w:rsid w:val="001D1E26"/>
    <w:rsid w:val="001D3916"/>
    <w:rsid w:val="001D49F3"/>
    <w:rsid w:val="001E1B6F"/>
    <w:rsid w:val="001E1C51"/>
    <w:rsid w:val="001E28AB"/>
    <w:rsid w:val="001E4621"/>
    <w:rsid w:val="001E6B7E"/>
    <w:rsid w:val="001E799E"/>
    <w:rsid w:val="00200042"/>
    <w:rsid w:val="0020132F"/>
    <w:rsid w:val="00203710"/>
    <w:rsid w:val="00212C9E"/>
    <w:rsid w:val="00213BCF"/>
    <w:rsid w:val="00214A76"/>
    <w:rsid w:val="00220BCF"/>
    <w:rsid w:val="00227991"/>
    <w:rsid w:val="002327A2"/>
    <w:rsid w:val="00232F23"/>
    <w:rsid w:val="00244885"/>
    <w:rsid w:val="00251F95"/>
    <w:rsid w:val="00255034"/>
    <w:rsid w:val="00263916"/>
    <w:rsid w:val="002773D8"/>
    <w:rsid w:val="00277E64"/>
    <w:rsid w:val="00282AC2"/>
    <w:rsid w:val="00285C8C"/>
    <w:rsid w:val="00286638"/>
    <w:rsid w:val="00287B90"/>
    <w:rsid w:val="002918D1"/>
    <w:rsid w:val="00296617"/>
    <w:rsid w:val="002A01BB"/>
    <w:rsid w:val="002A0727"/>
    <w:rsid w:val="002A3A2D"/>
    <w:rsid w:val="002A3F06"/>
    <w:rsid w:val="002A426A"/>
    <w:rsid w:val="002A6432"/>
    <w:rsid w:val="002A68AE"/>
    <w:rsid w:val="002A6D93"/>
    <w:rsid w:val="002B3F84"/>
    <w:rsid w:val="002D506F"/>
    <w:rsid w:val="002D64FF"/>
    <w:rsid w:val="002E7DEC"/>
    <w:rsid w:val="002F2E82"/>
    <w:rsid w:val="002F55F4"/>
    <w:rsid w:val="002F65E0"/>
    <w:rsid w:val="00301354"/>
    <w:rsid w:val="003063D8"/>
    <w:rsid w:val="00310D14"/>
    <w:rsid w:val="00310DD2"/>
    <w:rsid w:val="00310FBA"/>
    <w:rsid w:val="003179EC"/>
    <w:rsid w:val="0032578D"/>
    <w:rsid w:val="003329CF"/>
    <w:rsid w:val="00337F6B"/>
    <w:rsid w:val="00340429"/>
    <w:rsid w:val="003423DD"/>
    <w:rsid w:val="00342627"/>
    <w:rsid w:val="00351B5A"/>
    <w:rsid w:val="00357132"/>
    <w:rsid w:val="00357383"/>
    <w:rsid w:val="003576DC"/>
    <w:rsid w:val="003725D9"/>
    <w:rsid w:val="003855F3"/>
    <w:rsid w:val="003906F0"/>
    <w:rsid w:val="00393421"/>
    <w:rsid w:val="00393D84"/>
    <w:rsid w:val="003951D1"/>
    <w:rsid w:val="00396545"/>
    <w:rsid w:val="00397C2F"/>
    <w:rsid w:val="003A1477"/>
    <w:rsid w:val="003B0A26"/>
    <w:rsid w:val="003B66AD"/>
    <w:rsid w:val="003B7B08"/>
    <w:rsid w:val="003C054C"/>
    <w:rsid w:val="003C3937"/>
    <w:rsid w:val="003C5C80"/>
    <w:rsid w:val="003D1A28"/>
    <w:rsid w:val="003D5F50"/>
    <w:rsid w:val="003E2239"/>
    <w:rsid w:val="003E507A"/>
    <w:rsid w:val="003E5D3D"/>
    <w:rsid w:val="003F036A"/>
    <w:rsid w:val="003F23CE"/>
    <w:rsid w:val="003F48EE"/>
    <w:rsid w:val="003F4CAE"/>
    <w:rsid w:val="0040270F"/>
    <w:rsid w:val="00411CA3"/>
    <w:rsid w:val="00412581"/>
    <w:rsid w:val="00414CCC"/>
    <w:rsid w:val="00415A9A"/>
    <w:rsid w:val="00415ED0"/>
    <w:rsid w:val="00421391"/>
    <w:rsid w:val="00426B46"/>
    <w:rsid w:val="00434045"/>
    <w:rsid w:val="0043616F"/>
    <w:rsid w:val="0044367C"/>
    <w:rsid w:val="00443808"/>
    <w:rsid w:val="00444503"/>
    <w:rsid w:val="00444C46"/>
    <w:rsid w:val="00453351"/>
    <w:rsid w:val="0045640A"/>
    <w:rsid w:val="004601E5"/>
    <w:rsid w:val="004619C3"/>
    <w:rsid w:val="004711B3"/>
    <w:rsid w:val="0047158A"/>
    <w:rsid w:val="00473D06"/>
    <w:rsid w:val="0047491C"/>
    <w:rsid w:val="004779A7"/>
    <w:rsid w:val="00481E1B"/>
    <w:rsid w:val="00490408"/>
    <w:rsid w:val="004915A9"/>
    <w:rsid w:val="004A469A"/>
    <w:rsid w:val="004A5C83"/>
    <w:rsid w:val="004B03B8"/>
    <w:rsid w:val="004B1AA2"/>
    <w:rsid w:val="004B5E3D"/>
    <w:rsid w:val="004B6006"/>
    <w:rsid w:val="004C6DA4"/>
    <w:rsid w:val="004D49F2"/>
    <w:rsid w:val="004D7463"/>
    <w:rsid w:val="004D7881"/>
    <w:rsid w:val="004D7BA8"/>
    <w:rsid w:val="004E6D8C"/>
    <w:rsid w:val="004E73D3"/>
    <w:rsid w:val="004F5533"/>
    <w:rsid w:val="004F7AA4"/>
    <w:rsid w:val="005047F6"/>
    <w:rsid w:val="0050651D"/>
    <w:rsid w:val="005107D7"/>
    <w:rsid w:val="00510F68"/>
    <w:rsid w:val="0051694C"/>
    <w:rsid w:val="00525F2A"/>
    <w:rsid w:val="00532FBD"/>
    <w:rsid w:val="005361F7"/>
    <w:rsid w:val="00537BDA"/>
    <w:rsid w:val="00546586"/>
    <w:rsid w:val="00560801"/>
    <w:rsid w:val="0056306C"/>
    <w:rsid w:val="005655F2"/>
    <w:rsid w:val="005659C6"/>
    <w:rsid w:val="0057638E"/>
    <w:rsid w:val="00584D48"/>
    <w:rsid w:val="00591EB0"/>
    <w:rsid w:val="005955FA"/>
    <w:rsid w:val="005C7FF4"/>
    <w:rsid w:val="005D358D"/>
    <w:rsid w:val="005D37D9"/>
    <w:rsid w:val="005D4F52"/>
    <w:rsid w:val="005D6AF1"/>
    <w:rsid w:val="005D7C20"/>
    <w:rsid w:val="005E5D12"/>
    <w:rsid w:val="005E5F0F"/>
    <w:rsid w:val="005E7193"/>
    <w:rsid w:val="005F35DD"/>
    <w:rsid w:val="005F4D98"/>
    <w:rsid w:val="005F600D"/>
    <w:rsid w:val="00603F55"/>
    <w:rsid w:val="00610DFB"/>
    <w:rsid w:val="00612597"/>
    <w:rsid w:val="00613424"/>
    <w:rsid w:val="006170CE"/>
    <w:rsid w:val="00621782"/>
    <w:rsid w:val="00621957"/>
    <w:rsid w:val="00623595"/>
    <w:rsid w:val="00624B31"/>
    <w:rsid w:val="00626E93"/>
    <w:rsid w:val="0063253C"/>
    <w:rsid w:val="00633E34"/>
    <w:rsid w:val="00633F3B"/>
    <w:rsid w:val="00634AC2"/>
    <w:rsid w:val="00635A4A"/>
    <w:rsid w:val="0063707C"/>
    <w:rsid w:val="00640151"/>
    <w:rsid w:val="00642902"/>
    <w:rsid w:val="006432D8"/>
    <w:rsid w:val="0065258B"/>
    <w:rsid w:val="006560C2"/>
    <w:rsid w:val="00656889"/>
    <w:rsid w:val="006602C5"/>
    <w:rsid w:val="006617EF"/>
    <w:rsid w:val="006672AF"/>
    <w:rsid w:val="00667D14"/>
    <w:rsid w:val="00670386"/>
    <w:rsid w:val="006706A4"/>
    <w:rsid w:val="006737ED"/>
    <w:rsid w:val="00674B20"/>
    <w:rsid w:val="006753C0"/>
    <w:rsid w:val="00684D3A"/>
    <w:rsid w:val="006A4A02"/>
    <w:rsid w:val="006A521A"/>
    <w:rsid w:val="006B2B32"/>
    <w:rsid w:val="006B3AAC"/>
    <w:rsid w:val="006B4B53"/>
    <w:rsid w:val="006B757C"/>
    <w:rsid w:val="006C314C"/>
    <w:rsid w:val="006C4142"/>
    <w:rsid w:val="006D0D53"/>
    <w:rsid w:val="006D635A"/>
    <w:rsid w:val="006D6D8B"/>
    <w:rsid w:val="006E3987"/>
    <w:rsid w:val="006E68BE"/>
    <w:rsid w:val="006F32E4"/>
    <w:rsid w:val="006F7141"/>
    <w:rsid w:val="0070000F"/>
    <w:rsid w:val="00704033"/>
    <w:rsid w:val="00707417"/>
    <w:rsid w:val="00721B70"/>
    <w:rsid w:val="007255A4"/>
    <w:rsid w:val="00733B85"/>
    <w:rsid w:val="00733E1B"/>
    <w:rsid w:val="00737977"/>
    <w:rsid w:val="00741088"/>
    <w:rsid w:val="00744B33"/>
    <w:rsid w:val="00747BC7"/>
    <w:rsid w:val="007511C1"/>
    <w:rsid w:val="00751362"/>
    <w:rsid w:val="00757EBC"/>
    <w:rsid w:val="007609FD"/>
    <w:rsid w:val="00762353"/>
    <w:rsid w:val="00763A7D"/>
    <w:rsid w:val="007641BF"/>
    <w:rsid w:val="00764E6B"/>
    <w:rsid w:val="00766BDE"/>
    <w:rsid w:val="00771025"/>
    <w:rsid w:val="00771AB2"/>
    <w:rsid w:val="00772E7E"/>
    <w:rsid w:val="00773CFC"/>
    <w:rsid w:val="0078267B"/>
    <w:rsid w:val="00796E83"/>
    <w:rsid w:val="007A3FAF"/>
    <w:rsid w:val="007B0D87"/>
    <w:rsid w:val="007C0EFB"/>
    <w:rsid w:val="007C55D7"/>
    <w:rsid w:val="007C7C28"/>
    <w:rsid w:val="007D4CAE"/>
    <w:rsid w:val="007D4F47"/>
    <w:rsid w:val="007D702E"/>
    <w:rsid w:val="007E1E1A"/>
    <w:rsid w:val="007E4813"/>
    <w:rsid w:val="007E589B"/>
    <w:rsid w:val="007F018C"/>
    <w:rsid w:val="007F47E9"/>
    <w:rsid w:val="007F4FF6"/>
    <w:rsid w:val="0080285A"/>
    <w:rsid w:val="008061D5"/>
    <w:rsid w:val="00807015"/>
    <w:rsid w:val="00817CC3"/>
    <w:rsid w:val="00823940"/>
    <w:rsid w:val="00824F21"/>
    <w:rsid w:val="00826E5C"/>
    <w:rsid w:val="00830FBE"/>
    <w:rsid w:val="00835F67"/>
    <w:rsid w:val="00851D83"/>
    <w:rsid w:val="008606A5"/>
    <w:rsid w:val="008622EF"/>
    <w:rsid w:val="00873BFE"/>
    <w:rsid w:val="00882EF6"/>
    <w:rsid w:val="008844D5"/>
    <w:rsid w:val="008853BA"/>
    <w:rsid w:val="008906C5"/>
    <w:rsid w:val="00891457"/>
    <w:rsid w:val="008A02F2"/>
    <w:rsid w:val="008A77CA"/>
    <w:rsid w:val="008B0D7C"/>
    <w:rsid w:val="008B25EE"/>
    <w:rsid w:val="008C4A42"/>
    <w:rsid w:val="008C5753"/>
    <w:rsid w:val="008C6EF7"/>
    <w:rsid w:val="008C7494"/>
    <w:rsid w:val="008D06AF"/>
    <w:rsid w:val="008D1846"/>
    <w:rsid w:val="008D2ADA"/>
    <w:rsid w:val="008D2F71"/>
    <w:rsid w:val="008D5BA0"/>
    <w:rsid w:val="008E0187"/>
    <w:rsid w:val="008E739C"/>
    <w:rsid w:val="008E7A26"/>
    <w:rsid w:val="008F2E45"/>
    <w:rsid w:val="008F667A"/>
    <w:rsid w:val="00902921"/>
    <w:rsid w:val="0090487E"/>
    <w:rsid w:val="009050DA"/>
    <w:rsid w:val="00905B1F"/>
    <w:rsid w:val="0091183A"/>
    <w:rsid w:val="00913122"/>
    <w:rsid w:val="0091684C"/>
    <w:rsid w:val="00927650"/>
    <w:rsid w:val="00931DB6"/>
    <w:rsid w:val="00934DDE"/>
    <w:rsid w:val="00935CF7"/>
    <w:rsid w:val="009404BD"/>
    <w:rsid w:val="009438FB"/>
    <w:rsid w:val="0094557B"/>
    <w:rsid w:val="00950DEC"/>
    <w:rsid w:val="00951654"/>
    <w:rsid w:val="00953A14"/>
    <w:rsid w:val="009559DE"/>
    <w:rsid w:val="00955CA6"/>
    <w:rsid w:val="00957294"/>
    <w:rsid w:val="009603BA"/>
    <w:rsid w:val="00962095"/>
    <w:rsid w:val="00962CF7"/>
    <w:rsid w:val="00964521"/>
    <w:rsid w:val="009659C7"/>
    <w:rsid w:val="00975D2D"/>
    <w:rsid w:val="00976F02"/>
    <w:rsid w:val="00981103"/>
    <w:rsid w:val="00981477"/>
    <w:rsid w:val="00987C6A"/>
    <w:rsid w:val="009917DB"/>
    <w:rsid w:val="00991FEF"/>
    <w:rsid w:val="009A6831"/>
    <w:rsid w:val="009B2830"/>
    <w:rsid w:val="009B47E6"/>
    <w:rsid w:val="009B6ABE"/>
    <w:rsid w:val="009C6F4A"/>
    <w:rsid w:val="009D0192"/>
    <w:rsid w:val="009D16FF"/>
    <w:rsid w:val="009D3D2F"/>
    <w:rsid w:val="009D68F8"/>
    <w:rsid w:val="009E049E"/>
    <w:rsid w:val="009E0A3B"/>
    <w:rsid w:val="009E19C0"/>
    <w:rsid w:val="009E1B54"/>
    <w:rsid w:val="009E4C1C"/>
    <w:rsid w:val="009F02E1"/>
    <w:rsid w:val="009F3314"/>
    <w:rsid w:val="009F6BBD"/>
    <w:rsid w:val="00A04917"/>
    <w:rsid w:val="00A05051"/>
    <w:rsid w:val="00A05C59"/>
    <w:rsid w:val="00A119D5"/>
    <w:rsid w:val="00A200A3"/>
    <w:rsid w:val="00A24D59"/>
    <w:rsid w:val="00A26BB2"/>
    <w:rsid w:val="00A33E6F"/>
    <w:rsid w:val="00A34A9E"/>
    <w:rsid w:val="00A353A0"/>
    <w:rsid w:val="00A36638"/>
    <w:rsid w:val="00A401BC"/>
    <w:rsid w:val="00A4287F"/>
    <w:rsid w:val="00A42C2D"/>
    <w:rsid w:val="00A4544F"/>
    <w:rsid w:val="00A513C4"/>
    <w:rsid w:val="00A5288B"/>
    <w:rsid w:val="00A5473A"/>
    <w:rsid w:val="00A57AD1"/>
    <w:rsid w:val="00A65253"/>
    <w:rsid w:val="00A675B0"/>
    <w:rsid w:val="00A67A7C"/>
    <w:rsid w:val="00A71BDA"/>
    <w:rsid w:val="00A71FCC"/>
    <w:rsid w:val="00A8531D"/>
    <w:rsid w:val="00A86CAC"/>
    <w:rsid w:val="00A87C2B"/>
    <w:rsid w:val="00A91641"/>
    <w:rsid w:val="00A967E3"/>
    <w:rsid w:val="00AA1E7F"/>
    <w:rsid w:val="00AA2214"/>
    <w:rsid w:val="00AA70CC"/>
    <w:rsid w:val="00AA7A1E"/>
    <w:rsid w:val="00AB6E44"/>
    <w:rsid w:val="00AC1CD6"/>
    <w:rsid w:val="00AC2B04"/>
    <w:rsid w:val="00AC432F"/>
    <w:rsid w:val="00AC457F"/>
    <w:rsid w:val="00AC7C12"/>
    <w:rsid w:val="00AD0BC6"/>
    <w:rsid w:val="00AD1297"/>
    <w:rsid w:val="00AD19AC"/>
    <w:rsid w:val="00AD48A0"/>
    <w:rsid w:val="00AD7C2D"/>
    <w:rsid w:val="00AE2938"/>
    <w:rsid w:val="00AE297F"/>
    <w:rsid w:val="00AF48FE"/>
    <w:rsid w:val="00B114A0"/>
    <w:rsid w:val="00B157C6"/>
    <w:rsid w:val="00B20220"/>
    <w:rsid w:val="00B20E9B"/>
    <w:rsid w:val="00B22D7E"/>
    <w:rsid w:val="00B24EE5"/>
    <w:rsid w:val="00B25FB7"/>
    <w:rsid w:val="00B26738"/>
    <w:rsid w:val="00B26DEA"/>
    <w:rsid w:val="00B271C8"/>
    <w:rsid w:val="00B37888"/>
    <w:rsid w:val="00B44B30"/>
    <w:rsid w:val="00B51139"/>
    <w:rsid w:val="00B530E8"/>
    <w:rsid w:val="00B53D93"/>
    <w:rsid w:val="00B54C60"/>
    <w:rsid w:val="00B55305"/>
    <w:rsid w:val="00B5763D"/>
    <w:rsid w:val="00B578E3"/>
    <w:rsid w:val="00B730F4"/>
    <w:rsid w:val="00B75808"/>
    <w:rsid w:val="00B779CB"/>
    <w:rsid w:val="00B82C65"/>
    <w:rsid w:val="00B8339A"/>
    <w:rsid w:val="00B8624E"/>
    <w:rsid w:val="00B933C7"/>
    <w:rsid w:val="00B9586A"/>
    <w:rsid w:val="00B97854"/>
    <w:rsid w:val="00BA24F8"/>
    <w:rsid w:val="00BA2959"/>
    <w:rsid w:val="00BA2F9F"/>
    <w:rsid w:val="00BA30DF"/>
    <w:rsid w:val="00BA4D15"/>
    <w:rsid w:val="00BB30CE"/>
    <w:rsid w:val="00BC08C2"/>
    <w:rsid w:val="00BC2D8C"/>
    <w:rsid w:val="00BD3E38"/>
    <w:rsid w:val="00BD68CB"/>
    <w:rsid w:val="00BE0EBF"/>
    <w:rsid w:val="00BE6792"/>
    <w:rsid w:val="00C01821"/>
    <w:rsid w:val="00C02216"/>
    <w:rsid w:val="00C02C4F"/>
    <w:rsid w:val="00C1569D"/>
    <w:rsid w:val="00C16BAD"/>
    <w:rsid w:val="00C22FA9"/>
    <w:rsid w:val="00C242E0"/>
    <w:rsid w:val="00C24EEB"/>
    <w:rsid w:val="00C251AB"/>
    <w:rsid w:val="00C258DF"/>
    <w:rsid w:val="00C320C2"/>
    <w:rsid w:val="00C323AD"/>
    <w:rsid w:val="00C35CCF"/>
    <w:rsid w:val="00C37C5F"/>
    <w:rsid w:val="00C37F32"/>
    <w:rsid w:val="00C639A2"/>
    <w:rsid w:val="00C66126"/>
    <w:rsid w:val="00C719E9"/>
    <w:rsid w:val="00C73275"/>
    <w:rsid w:val="00C7384A"/>
    <w:rsid w:val="00C73CAE"/>
    <w:rsid w:val="00C749A1"/>
    <w:rsid w:val="00C7514B"/>
    <w:rsid w:val="00C80A45"/>
    <w:rsid w:val="00C8426F"/>
    <w:rsid w:val="00C90C4C"/>
    <w:rsid w:val="00CA036E"/>
    <w:rsid w:val="00CA369C"/>
    <w:rsid w:val="00CA71B7"/>
    <w:rsid w:val="00CC0170"/>
    <w:rsid w:val="00CC3324"/>
    <w:rsid w:val="00CC3F66"/>
    <w:rsid w:val="00CC413B"/>
    <w:rsid w:val="00CD5FCF"/>
    <w:rsid w:val="00CD666E"/>
    <w:rsid w:val="00CD68A4"/>
    <w:rsid w:val="00CE27A2"/>
    <w:rsid w:val="00CE56EB"/>
    <w:rsid w:val="00CE7196"/>
    <w:rsid w:val="00CE7656"/>
    <w:rsid w:val="00CF1F67"/>
    <w:rsid w:val="00CF3056"/>
    <w:rsid w:val="00CF4352"/>
    <w:rsid w:val="00CF4706"/>
    <w:rsid w:val="00CF47E7"/>
    <w:rsid w:val="00D01559"/>
    <w:rsid w:val="00D11883"/>
    <w:rsid w:val="00D11B2C"/>
    <w:rsid w:val="00D17F93"/>
    <w:rsid w:val="00D33D64"/>
    <w:rsid w:val="00D349EA"/>
    <w:rsid w:val="00D44CA2"/>
    <w:rsid w:val="00D530BC"/>
    <w:rsid w:val="00D55CD0"/>
    <w:rsid w:val="00D63D5C"/>
    <w:rsid w:val="00D6471F"/>
    <w:rsid w:val="00D67159"/>
    <w:rsid w:val="00D726B1"/>
    <w:rsid w:val="00D74124"/>
    <w:rsid w:val="00D744A6"/>
    <w:rsid w:val="00D75C49"/>
    <w:rsid w:val="00D77F52"/>
    <w:rsid w:val="00D800F4"/>
    <w:rsid w:val="00D80DA1"/>
    <w:rsid w:val="00D83A76"/>
    <w:rsid w:val="00D90257"/>
    <w:rsid w:val="00D93193"/>
    <w:rsid w:val="00D95E80"/>
    <w:rsid w:val="00DA0E3B"/>
    <w:rsid w:val="00DA496D"/>
    <w:rsid w:val="00DA4B1B"/>
    <w:rsid w:val="00DA5551"/>
    <w:rsid w:val="00DB16EA"/>
    <w:rsid w:val="00DB52C4"/>
    <w:rsid w:val="00DC007E"/>
    <w:rsid w:val="00DC06B0"/>
    <w:rsid w:val="00DC11FF"/>
    <w:rsid w:val="00DC2E8C"/>
    <w:rsid w:val="00DC3750"/>
    <w:rsid w:val="00DC50A7"/>
    <w:rsid w:val="00DD033A"/>
    <w:rsid w:val="00DD2B56"/>
    <w:rsid w:val="00DD3209"/>
    <w:rsid w:val="00DD3ABA"/>
    <w:rsid w:val="00DD538C"/>
    <w:rsid w:val="00DE0195"/>
    <w:rsid w:val="00DF1825"/>
    <w:rsid w:val="00DF3111"/>
    <w:rsid w:val="00E00A1C"/>
    <w:rsid w:val="00E04F11"/>
    <w:rsid w:val="00E05EE3"/>
    <w:rsid w:val="00E07BDE"/>
    <w:rsid w:val="00E12AD1"/>
    <w:rsid w:val="00E17ED0"/>
    <w:rsid w:val="00E21237"/>
    <w:rsid w:val="00E21D7D"/>
    <w:rsid w:val="00E25029"/>
    <w:rsid w:val="00E2737B"/>
    <w:rsid w:val="00E429CD"/>
    <w:rsid w:val="00E4372C"/>
    <w:rsid w:val="00E439E8"/>
    <w:rsid w:val="00E46DE5"/>
    <w:rsid w:val="00E52257"/>
    <w:rsid w:val="00E64246"/>
    <w:rsid w:val="00E64659"/>
    <w:rsid w:val="00E67009"/>
    <w:rsid w:val="00E74D28"/>
    <w:rsid w:val="00E81217"/>
    <w:rsid w:val="00E837BA"/>
    <w:rsid w:val="00E84A42"/>
    <w:rsid w:val="00E90C18"/>
    <w:rsid w:val="00E91109"/>
    <w:rsid w:val="00E926BF"/>
    <w:rsid w:val="00E94087"/>
    <w:rsid w:val="00E95981"/>
    <w:rsid w:val="00E964DD"/>
    <w:rsid w:val="00E977A7"/>
    <w:rsid w:val="00EA271C"/>
    <w:rsid w:val="00EA6643"/>
    <w:rsid w:val="00EA741B"/>
    <w:rsid w:val="00EA7C27"/>
    <w:rsid w:val="00EB0436"/>
    <w:rsid w:val="00EB063D"/>
    <w:rsid w:val="00EB373B"/>
    <w:rsid w:val="00EC1CF5"/>
    <w:rsid w:val="00EC1D37"/>
    <w:rsid w:val="00EC2B03"/>
    <w:rsid w:val="00EE3874"/>
    <w:rsid w:val="00EE5CB2"/>
    <w:rsid w:val="00F16062"/>
    <w:rsid w:val="00F1612C"/>
    <w:rsid w:val="00F20420"/>
    <w:rsid w:val="00F21F00"/>
    <w:rsid w:val="00F22F9D"/>
    <w:rsid w:val="00F23ADA"/>
    <w:rsid w:val="00F24E34"/>
    <w:rsid w:val="00F27E19"/>
    <w:rsid w:val="00F31281"/>
    <w:rsid w:val="00F33AEE"/>
    <w:rsid w:val="00F421E0"/>
    <w:rsid w:val="00F4251C"/>
    <w:rsid w:val="00F51219"/>
    <w:rsid w:val="00F53310"/>
    <w:rsid w:val="00F56281"/>
    <w:rsid w:val="00F65BF2"/>
    <w:rsid w:val="00F70596"/>
    <w:rsid w:val="00F774EE"/>
    <w:rsid w:val="00F83151"/>
    <w:rsid w:val="00F836F2"/>
    <w:rsid w:val="00F91F6A"/>
    <w:rsid w:val="00F949DF"/>
    <w:rsid w:val="00F96185"/>
    <w:rsid w:val="00F97236"/>
    <w:rsid w:val="00FB0868"/>
    <w:rsid w:val="00FB0E56"/>
    <w:rsid w:val="00FB1271"/>
    <w:rsid w:val="00FB1C96"/>
    <w:rsid w:val="00FB4E1B"/>
    <w:rsid w:val="00FC4B48"/>
    <w:rsid w:val="00FC6BF9"/>
    <w:rsid w:val="00FD2F0C"/>
    <w:rsid w:val="00FF138E"/>
    <w:rsid w:val="00FF7901"/>
    <w:rsid w:val="01094132"/>
    <w:rsid w:val="01210ADE"/>
    <w:rsid w:val="01457570"/>
    <w:rsid w:val="01C16B24"/>
    <w:rsid w:val="02052341"/>
    <w:rsid w:val="027D0F8C"/>
    <w:rsid w:val="02F32FFC"/>
    <w:rsid w:val="03593287"/>
    <w:rsid w:val="0458580D"/>
    <w:rsid w:val="049B61AA"/>
    <w:rsid w:val="04AB6E85"/>
    <w:rsid w:val="05DC39F5"/>
    <w:rsid w:val="05FB6D97"/>
    <w:rsid w:val="060C4B01"/>
    <w:rsid w:val="061D7023"/>
    <w:rsid w:val="06497B03"/>
    <w:rsid w:val="06A67EA4"/>
    <w:rsid w:val="074107DA"/>
    <w:rsid w:val="07481B68"/>
    <w:rsid w:val="07506903"/>
    <w:rsid w:val="0777638D"/>
    <w:rsid w:val="08167EB9"/>
    <w:rsid w:val="086A1FB2"/>
    <w:rsid w:val="089A2898"/>
    <w:rsid w:val="094B3B92"/>
    <w:rsid w:val="095011A8"/>
    <w:rsid w:val="09F558AC"/>
    <w:rsid w:val="0A432ABB"/>
    <w:rsid w:val="0A656ED5"/>
    <w:rsid w:val="0A7D421F"/>
    <w:rsid w:val="0B093874"/>
    <w:rsid w:val="0B2226D0"/>
    <w:rsid w:val="0B842727"/>
    <w:rsid w:val="0C012C2E"/>
    <w:rsid w:val="0CFD51A3"/>
    <w:rsid w:val="0D18022F"/>
    <w:rsid w:val="0D937219"/>
    <w:rsid w:val="0D952493"/>
    <w:rsid w:val="0E425124"/>
    <w:rsid w:val="0F1113DA"/>
    <w:rsid w:val="0F1F58A5"/>
    <w:rsid w:val="0FD72FBD"/>
    <w:rsid w:val="10932FD3"/>
    <w:rsid w:val="109D0349"/>
    <w:rsid w:val="10BB0E64"/>
    <w:rsid w:val="128C0EF5"/>
    <w:rsid w:val="12B67C07"/>
    <w:rsid w:val="133B0876"/>
    <w:rsid w:val="136441CE"/>
    <w:rsid w:val="14321111"/>
    <w:rsid w:val="14653BFB"/>
    <w:rsid w:val="14691370"/>
    <w:rsid w:val="14FA66E9"/>
    <w:rsid w:val="154D0C92"/>
    <w:rsid w:val="155555F2"/>
    <w:rsid w:val="157D1577"/>
    <w:rsid w:val="167C538B"/>
    <w:rsid w:val="1769695F"/>
    <w:rsid w:val="17A74689"/>
    <w:rsid w:val="17C26D21"/>
    <w:rsid w:val="17DC426C"/>
    <w:rsid w:val="17E256FE"/>
    <w:rsid w:val="19063790"/>
    <w:rsid w:val="194C3452"/>
    <w:rsid w:val="19FD67E3"/>
    <w:rsid w:val="1A187AC0"/>
    <w:rsid w:val="1A8962C8"/>
    <w:rsid w:val="1AE23C2A"/>
    <w:rsid w:val="1CB41F35"/>
    <w:rsid w:val="1D3C3AC6"/>
    <w:rsid w:val="1D625435"/>
    <w:rsid w:val="1D9A07EC"/>
    <w:rsid w:val="1E805C34"/>
    <w:rsid w:val="1EFA3C38"/>
    <w:rsid w:val="1F415FD7"/>
    <w:rsid w:val="1F9F1A13"/>
    <w:rsid w:val="20D3029D"/>
    <w:rsid w:val="21744E6A"/>
    <w:rsid w:val="2188552B"/>
    <w:rsid w:val="21CD6EF6"/>
    <w:rsid w:val="220152DE"/>
    <w:rsid w:val="22C70A79"/>
    <w:rsid w:val="22CE157B"/>
    <w:rsid w:val="22EE13BE"/>
    <w:rsid w:val="22F15352"/>
    <w:rsid w:val="230C03F8"/>
    <w:rsid w:val="233142ED"/>
    <w:rsid w:val="235D02F2"/>
    <w:rsid w:val="239B00EF"/>
    <w:rsid w:val="246703AD"/>
    <w:rsid w:val="24960787"/>
    <w:rsid w:val="24AC1531"/>
    <w:rsid w:val="24C85C3F"/>
    <w:rsid w:val="24D13E1C"/>
    <w:rsid w:val="24DB3BC4"/>
    <w:rsid w:val="255B2F57"/>
    <w:rsid w:val="25B30B82"/>
    <w:rsid w:val="25C63C72"/>
    <w:rsid w:val="25F951EF"/>
    <w:rsid w:val="26325A66"/>
    <w:rsid w:val="264D28A0"/>
    <w:rsid w:val="26D53F67"/>
    <w:rsid w:val="26E74AA2"/>
    <w:rsid w:val="27247AA4"/>
    <w:rsid w:val="275F128C"/>
    <w:rsid w:val="282316D9"/>
    <w:rsid w:val="285B3F11"/>
    <w:rsid w:val="28C24795"/>
    <w:rsid w:val="294A1318"/>
    <w:rsid w:val="29FB0420"/>
    <w:rsid w:val="2A924284"/>
    <w:rsid w:val="2B1A3691"/>
    <w:rsid w:val="2B1D73A5"/>
    <w:rsid w:val="2B2B6F28"/>
    <w:rsid w:val="2B6428DB"/>
    <w:rsid w:val="2B88437A"/>
    <w:rsid w:val="2C0E487F"/>
    <w:rsid w:val="2CF44533"/>
    <w:rsid w:val="2D045C82"/>
    <w:rsid w:val="2D12214D"/>
    <w:rsid w:val="2D614E83"/>
    <w:rsid w:val="2D6D3827"/>
    <w:rsid w:val="2DAD4439"/>
    <w:rsid w:val="2E652751"/>
    <w:rsid w:val="2ED27DE6"/>
    <w:rsid w:val="2EDE2C2F"/>
    <w:rsid w:val="2F6D5043"/>
    <w:rsid w:val="2FEC62C5"/>
    <w:rsid w:val="30A752A2"/>
    <w:rsid w:val="3173737F"/>
    <w:rsid w:val="31883701"/>
    <w:rsid w:val="31A16091"/>
    <w:rsid w:val="31EA18EB"/>
    <w:rsid w:val="31F42769"/>
    <w:rsid w:val="3207498C"/>
    <w:rsid w:val="322B5C69"/>
    <w:rsid w:val="32382656"/>
    <w:rsid w:val="32461E7F"/>
    <w:rsid w:val="324C62AE"/>
    <w:rsid w:val="32A43C77"/>
    <w:rsid w:val="33574D5E"/>
    <w:rsid w:val="33867452"/>
    <w:rsid w:val="33FF314C"/>
    <w:rsid w:val="34014CC9"/>
    <w:rsid w:val="34164C19"/>
    <w:rsid w:val="34453929"/>
    <w:rsid w:val="34961F0D"/>
    <w:rsid w:val="34D66156"/>
    <w:rsid w:val="34F12F90"/>
    <w:rsid w:val="35040F15"/>
    <w:rsid w:val="354237EC"/>
    <w:rsid w:val="35812566"/>
    <w:rsid w:val="360B1E2F"/>
    <w:rsid w:val="36E44B5A"/>
    <w:rsid w:val="371A4544"/>
    <w:rsid w:val="379245B6"/>
    <w:rsid w:val="38613F89"/>
    <w:rsid w:val="3A270668"/>
    <w:rsid w:val="3A3F0B52"/>
    <w:rsid w:val="3AAD7959"/>
    <w:rsid w:val="3B071141"/>
    <w:rsid w:val="3B6A0AF0"/>
    <w:rsid w:val="3BDA477E"/>
    <w:rsid w:val="3BE63123"/>
    <w:rsid w:val="3C1E28BD"/>
    <w:rsid w:val="3C221C81"/>
    <w:rsid w:val="3C2D0D52"/>
    <w:rsid w:val="3C5C5193"/>
    <w:rsid w:val="3C5E0F0B"/>
    <w:rsid w:val="3C916DAA"/>
    <w:rsid w:val="3CFF18FE"/>
    <w:rsid w:val="3DFD4754"/>
    <w:rsid w:val="3E014244"/>
    <w:rsid w:val="3E253286"/>
    <w:rsid w:val="3E371A14"/>
    <w:rsid w:val="3E5A6C41"/>
    <w:rsid w:val="3EAB2402"/>
    <w:rsid w:val="3F00274D"/>
    <w:rsid w:val="3F5B7984"/>
    <w:rsid w:val="3F7B1452"/>
    <w:rsid w:val="40476583"/>
    <w:rsid w:val="405D73CF"/>
    <w:rsid w:val="406620BE"/>
    <w:rsid w:val="407E7DCE"/>
    <w:rsid w:val="40C477AB"/>
    <w:rsid w:val="40CD2B03"/>
    <w:rsid w:val="415C3EAF"/>
    <w:rsid w:val="41913D50"/>
    <w:rsid w:val="423C1CEE"/>
    <w:rsid w:val="426C1EA8"/>
    <w:rsid w:val="42E61C5A"/>
    <w:rsid w:val="439B2A45"/>
    <w:rsid w:val="43B9736F"/>
    <w:rsid w:val="44A06B59"/>
    <w:rsid w:val="44DD77B3"/>
    <w:rsid w:val="455740D3"/>
    <w:rsid w:val="45961716"/>
    <w:rsid w:val="46565349"/>
    <w:rsid w:val="47022DDB"/>
    <w:rsid w:val="474358CD"/>
    <w:rsid w:val="47680E90"/>
    <w:rsid w:val="4783216D"/>
    <w:rsid w:val="489B5295"/>
    <w:rsid w:val="48CA3C49"/>
    <w:rsid w:val="48FC21D7"/>
    <w:rsid w:val="490165D1"/>
    <w:rsid w:val="49271405"/>
    <w:rsid w:val="4933371F"/>
    <w:rsid w:val="49813323"/>
    <w:rsid w:val="4A902958"/>
    <w:rsid w:val="4ADE67A8"/>
    <w:rsid w:val="4B0A6953"/>
    <w:rsid w:val="4C72455F"/>
    <w:rsid w:val="4C8C5620"/>
    <w:rsid w:val="4CA50490"/>
    <w:rsid w:val="4CB8748B"/>
    <w:rsid w:val="4CE4545C"/>
    <w:rsid w:val="4D3161C8"/>
    <w:rsid w:val="4D6F2A51"/>
    <w:rsid w:val="4D7B1B4F"/>
    <w:rsid w:val="4DF25957"/>
    <w:rsid w:val="4E665DA8"/>
    <w:rsid w:val="4EAD5D22"/>
    <w:rsid w:val="4EBE7F2F"/>
    <w:rsid w:val="4F950C90"/>
    <w:rsid w:val="50011E81"/>
    <w:rsid w:val="502838B2"/>
    <w:rsid w:val="503C735D"/>
    <w:rsid w:val="50722D7F"/>
    <w:rsid w:val="50A965D0"/>
    <w:rsid w:val="51A46F68"/>
    <w:rsid w:val="521C7446"/>
    <w:rsid w:val="52382140"/>
    <w:rsid w:val="52392BB8"/>
    <w:rsid w:val="52834F29"/>
    <w:rsid w:val="529E2F3B"/>
    <w:rsid w:val="52A66D10"/>
    <w:rsid w:val="53A2397B"/>
    <w:rsid w:val="53A476F3"/>
    <w:rsid w:val="53AE40CE"/>
    <w:rsid w:val="54BA00B5"/>
    <w:rsid w:val="556874D0"/>
    <w:rsid w:val="55B624E8"/>
    <w:rsid w:val="55E464CD"/>
    <w:rsid w:val="55E748B3"/>
    <w:rsid w:val="570D55B0"/>
    <w:rsid w:val="57234DD3"/>
    <w:rsid w:val="575D0F83"/>
    <w:rsid w:val="57E83A24"/>
    <w:rsid w:val="57F7197A"/>
    <w:rsid w:val="582B6E54"/>
    <w:rsid w:val="589715D5"/>
    <w:rsid w:val="59682F71"/>
    <w:rsid w:val="59976202"/>
    <w:rsid w:val="59FF1015"/>
    <w:rsid w:val="5A08082A"/>
    <w:rsid w:val="5A380B96"/>
    <w:rsid w:val="5A937C42"/>
    <w:rsid w:val="5AAC3332"/>
    <w:rsid w:val="5AAC50E0"/>
    <w:rsid w:val="5AC60D63"/>
    <w:rsid w:val="5B0D2022"/>
    <w:rsid w:val="5B1C04B7"/>
    <w:rsid w:val="5B4D241F"/>
    <w:rsid w:val="5B54602C"/>
    <w:rsid w:val="5B94783F"/>
    <w:rsid w:val="5B9938B6"/>
    <w:rsid w:val="5BDF7420"/>
    <w:rsid w:val="5BE74621"/>
    <w:rsid w:val="5C8F0BC6"/>
    <w:rsid w:val="5CFF3BED"/>
    <w:rsid w:val="5D883BE2"/>
    <w:rsid w:val="5EA507C4"/>
    <w:rsid w:val="5F290493"/>
    <w:rsid w:val="5F2B2A77"/>
    <w:rsid w:val="5F3A53B0"/>
    <w:rsid w:val="5FA40A7B"/>
    <w:rsid w:val="5FC15189"/>
    <w:rsid w:val="60091BD5"/>
    <w:rsid w:val="60200102"/>
    <w:rsid w:val="603B4F3C"/>
    <w:rsid w:val="60C45E59"/>
    <w:rsid w:val="61435CBB"/>
    <w:rsid w:val="6155027F"/>
    <w:rsid w:val="61B551C2"/>
    <w:rsid w:val="61ED04B8"/>
    <w:rsid w:val="620D46B6"/>
    <w:rsid w:val="621D2A59"/>
    <w:rsid w:val="634C56B2"/>
    <w:rsid w:val="64110D2B"/>
    <w:rsid w:val="65000502"/>
    <w:rsid w:val="655A40B6"/>
    <w:rsid w:val="6572795C"/>
    <w:rsid w:val="65827169"/>
    <w:rsid w:val="67B04B56"/>
    <w:rsid w:val="67F438F1"/>
    <w:rsid w:val="67F72A89"/>
    <w:rsid w:val="6837241B"/>
    <w:rsid w:val="68D979E8"/>
    <w:rsid w:val="68FB792A"/>
    <w:rsid w:val="69382960"/>
    <w:rsid w:val="6953775F"/>
    <w:rsid w:val="69583A13"/>
    <w:rsid w:val="698C2CAC"/>
    <w:rsid w:val="6ACD70D8"/>
    <w:rsid w:val="6B264A3A"/>
    <w:rsid w:val="6B6C0DA2"/>
    <w:rsid w:val="6D5A2707"/>
    <w:rsid w:val="6DC76061"/>
    <w:rsid w:val="6DFD1A82"/>
    <w:rsid w:val="6E5C0307"/>
    <w:rsid w:val="6E617526"/>
    <w:rsid w:val="6E6C09B6"/>
    <w:rsid w:val="6EB02F99"/>
    <w:rsid w:val="6ED71BF0"/>
    <w:rsid w:val="6F240359"/>
    <w:rsid w:val="7051768E"/>
    <w:rsid w:val="70A02B99"/>
    <w:rsid w:val="70A6092D"/>
    <w:rsid w:val="714E772A"/>
    <w:rsid w:val="715220E5"/>
    <w:rsid w:val="72071122"/>
    <w:rsid w:val="72696121"/>
    <w:rsid w:val="72FD5F01"/>
    <w:rsid w:val="730C2768"/>
    <w:rsid w:val="73E334C8"/>
    <w:rsid w:val="743401C8"/>
    <w:rsid w:val="74836A59"/>
    <w:rsid w:val="75041948"/>
    <w:rsid w:val="7526164A"/>
    <w:rsid w:val="75B72E5F"/>
    <w:rsid w:val="75BC3BDF"/>
    <w:rsid w:val="75C5759F"/>
    <w:rsid w:val="75F61BD9"/>
    <w:rsid w:val="76DA02F5"/>
    <w:rsid w:val="76F65C09"/>
    <w:rsid w:val="76F679B7"/>
    <w:rsid w:val="777B7216"/>
    <w:rsid w:val="77871FAE"/>
    <w:rsid w:val="77957E43"/>
    <w:rsid w:val="78341A67"/>
    <w:rsid w:val="786F17CF"/>
    <w:rsid w:val="788D60F9"/>
    <w:rsid w:val="789631FF"/>
    <w:rsid w:val="78BD69DE"/>
    <w:rsid w:val="79425135"/>
    <w:rsid w:val="79530725"/>
    <w:rsid w:val="7A044199"/>
    <w:rsid w:val="7A1913BA"/>
    <w:rsid w:val="7AA5597C"/>
    <w:rsid w:val="7AB94F83"/>
    <w:rsid w:val="7AC53AF9"/>
    <w:rsid w:val="7B29035B"/>
    <w:rsid w:val="7B3D7962"/>
    <w:rsid w:val="7B4056A4"/>
    <w:rsid w:val="7BD1454E"/>
    <w:rsid w:val="7BD76009"/>
    <w:rsid w:val="7C0F15E4"/>
    <w:rsid w:val="7C8415C1"/>
    <w:rsid w:val="7C871207"/>
    <w:rsid w:val="7D0F3580"/>
    <w:rsid w:val="7E0420DE"/>
    <w:rsid w:val="7E3279FA"/>
    <w:rsid w:val="7E6B2A38"/>
    <w:rsid w:val="7E7C4C45"/>
    <w:rsid w:val="7E8148A2"/>
    <w:rsid w:val="7EAD4DFF"/>
    <w:rsid w:val="7EFD50AE"/>
    <w:rsid w:val="7F160BF6"/>
    <w:rsid w:val="7F67638D"/>
    <w:rsid w:val="7F6E3128"/>
    <w:rsid w:val="7F945FBF"/>
    <w:rsid w:val="7F974755"/>
    <w:rsid w:val="7FA51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CAD9392"/>
  <w15:docId w15:val="{4EBB0F59-3B6D-41A3-AD94-AF70C0D30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List Paragraph"/>
    <w:basedOn w:val="a"/>
    <w:uiPriority w:val="34"/>
    <w:qFormat/>
    <w:pPr>
      <w:ind w:firstLineChars="200" w:firstLine="420"/>
    </w:pPr>
  </w:style>
  <w:style w:type="character" w:customStyle="1" w:styleId="a6">
    <w:name w:val="页眉 字符"/>
    <w:basedOn w:val="a0"/>
    <w:link w:val="a5"/>
    <w:uiPriority w:val="99"/>
    <w:rPr>
      <w:rFonts w:ascii="Calibri" w:hAnsi="Calibri"/>
      <w:kern w:val="2"/>
      <w:sz w:val="18"/>
      <w:szCs w:val="18"/>
    </w:rPr>
  </w:style>
  <w:style w:type="character" w:customStyle="1" w:styleId="a4">
    <w:name w:val="页脚 字符"/>
    <w:basedOn w:val="a0"/>
    <w:link w:val="a3"/>
    <w:uiPriority w:val="99"/>
    <w:rPr>
      <w:rFonts w:ascii="Calibri" w:hAnsi="Calibri"/>
      <w:kern w:val="2"/>
      <w:sz w:val="18"/>
      <w:szCs w:val="18"/>
    </w:rPr>
  </w:style>
  <w:style w:type="character" w:styleId="a8">
    <w:name w:val="Strong"/>
    <w:basedOn w:val="a0"/>
    <w:uiPriority w:val="22"/>
    <w:qFormat/>
    <w:rsid w:val="008D2ADA"/>
    <w:rPr>
      <w:b/>
      <w:bCs/>
    </w:rPr>
  </w:style>
  <w:style w:type="paragraph" w:styleId="a9">
    <w:name w:val="Normal (Web)"/>
    <w:basedOn w:val="a"/>
    <w:uiPriority w:val="99"/>
    <w:semiHidden/>
    <w:unhideWhenUsed/>
    <w:rsid w:val="008D2AD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252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0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7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E62288-5FAA-4453-B328-66CD4FF63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11651</TotalTime>
  <Pages>2</Pages>
  <Words>470</Words>
  <Characters>2684</Characters>
  <Application>Microsoft Office Word</Application>
  <DocSecurity>0</DocSecurity>
  <Lines>22</Lines>
  <Paragraphs>6</Paragraphs>
  <ScaleCrop>false</ScaleCrop>
  <Company/>
  <LinksUpToDate>false</LinksUpToDate>
  <CharactersWithSpaces>3148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单 单眼皮</dc:creator>
  <cp:lastModifiedBy>单 单眼皮</cp:lastModifiedBy>
  <cp:revision>1684</cp:revision>
  <dcterms:created xsi:type="dcterms:W3CDTF">2022-07-04T07:48:00Z</dcterms:created>
  <dcterms:modified xsi:type="dcterms:W3CDTF">2023-09-27T08:00:00Z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2052-12.1.0.15673</vt:lpwstr>
  </property>
  <property fmtid="{D5CDD505-2E9C-101B-9397-08002B2CF9AE}" pid="3" name="ICV">
    <vt:lpwstr>489711634ADF4131B054904A1A208ED9</vt:lpwstr>
  </property>
</Properties>
</file>