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7BF304" w14:textId="77777777" w:rsidR="0074562B" w:rsidRDefault="0074562B" w:rsidP="0074562B">
      <w:r>
        <w:t>强脉冲光联合富血小板血浆注射治疗玫瑰痤疮疗效观察</w:t>
      </w:r>
      <w:r>
        <w:t xml:space="preserve"> </w:t>
      </w:r>
    </w:p>
    <w:p w14:paraId="1A5E7C99" w14:textId="77777777" w:rsidR="0074562B" w:rsidRDefault="0074562B" w:rsidP="0074562B"/>
    <w:p w14:paraId="0078D8BE" w14:textId="4426AA42" w:rsidR="0074562B" w:rsidRDefault="0074562B" w:rsidP="0074562B">
      <w:r>
        <w:t>朱新华，张二佳，</w:t>
      </w:r>
      <w:proofErr w:type="gramStart"/>
      <w:r>
        <w:t>付梦瑶</w:t>
      </w:r>
      <w:proofErr w:type="gramEnd"/>
      <w:r>
        <w:t xml:space="preserve"> </w:t>
      </w:r>
    </w:p>
    <w:p w14:paraId="55FEDCC4" w14:textId="77777777" w:rsidR="0074562B" w:rsidRDefault="0074562B" w:rsidP="0074562B"/>
    <w:p w14:paraId="3E82F4F4" w14:textId="371FB210" w:rsidR="0074562B" w:rsidRDefault="0074562B" w:rsidP="0074562B">
      <w:r>
        <w:t>（中国航天科工集团七三一医院皮肤及整形外科</w:t>
      </w:r>
      <w:r>
        <w:t xml:space="preserve"> </w:t>
      </w:r>
      <w:r>
        <w:t>北京</w:t>
      </w:r>
      <w:r>
        <w:t xml:space="preserve"> 100074</w:t>
      </w:r>
      <w:r>
        <w:t>）</w:t>
      </w:r>
      <w:r>
        <w:t xml:space="preserve"> </w:t>
      </w:r>
    </w:p>
    <w:p w14:paraId="1FB342A5" w14:textId="77777777" w:rsidR="0074562B" w:rsidRDefault="0074562B" w:rsidP="0074562B"/>
    <w:p w14:paraId="3F6DAE22" w14:textId="77777777" w:rsidR="00FF6664" w:rsidRDefault="0074562B" w:rsidP="0074562B">
      <w:r>
        <w:t>[</w:t>
      </w:r>
      <w:r>
        <w:t>摘要</w:t>
      </w:r>
      <w:r>
        <w:t>]</w:t>
      </w:r>
      <w:r>
        <w:t>目的：观察强脉冲光（</w:t>
      </w:r>
      <w:r>
        <w:t>Intense pulsed light</w:t>
      </w:r>
      <w:r>
        <w:t>，</w:t>
      </w:r>
      <w:r>
        <w:t>IPL</w:t>
      </w:r>
      <w:r>
        <w:t>）联合富血小板血浆（</w:t>
      </w:r>
      <w:r>
        <w:t>Platelet-rich plasma</w:t>
      </w:r>
      <w:r>
        <w:t>，</w:t>
      </w:r>
      <w:r>
        <w:t>PRP</w:t>
      </w:r>
      <w:r>
        <w:t>）注射治疗玫瑰</w:t>
      </w:r>
      <w:r>
        <w:t xml:space="preserve"> </w:t>
      </w:r>
      <w:r>
        <w:t>痤疮的临床效果。方法：选取</w:t>
      </w:r>
      <w:r>
        <w:t>2021</w:t>
      </w:r>
      <w:r>
        <w:t>年</w:t>
      </w:r>
      <w:r>
        <w:t>5</w:t>
      </w:r>
      <w:r>
        <w:t>月</w:t>
      </w:r>
      <w:r>
        <w:t>-2022</w:t>
      </w:r>
      <w:r>
        <w:t>年</w:t>
      </w:r>
      <w:r>
        <w:t>2</w:t>
      </w:r>
      <w:r>
        <w:t>月笔者医院收治的</w:t>
      </w:r>
      <w:r>
        <w:t>60</w:t>
      </w:r>
      <w:r>
        <w:t>例玫瑰痤疮患者，并随机分成</w:t>
      </w:r>
      <w:r>
        <w:t>IPL</w:t>
      </w:r>
      <w:r>
        <w:t>组（</w:t>
      </w:r>
      <w:r>
        <w:t>n=30</w:t>
      </w:r>
      <w:r>
        <w:t>，</w:t>
      </w:r>
      <w:r>
        <w:t>IPL</w:t>
      </w:r>
      <w:r>
        <w:t>治</w:t>
      </w:r>
      <w:r>
        <w:t xml:space="preserve"> </w:t>
      </w:r>
      <w:r>
        <w:t>疗）和联合组（</w:t>
      </w:r>
      <w:r>
        <w:t>n =30</w:t>
      </w:r>
      <w:r>
        <w:t>，</w:t>
      </w:r>
      <w:r>
        <w:t>IPL</w:t>
      </w:r>
      <w:r>
        <w:t>联合</w:t>
      </w:r>
      <w:r>
        <w:t>PRP</w:t>
      </w:r>
      <w:r>
        <w:t>注射治疗）。于治疗前后进行症状量化评定，同时检测角质层含水量、经皮水分</w:t>
      </w:r>
      <w:r>
        <w:t xml:space="preserve"> </w:t>
      </w:r>
      <w:r>
        <w:t>损失量（</w:t>
      </w:r>
      <w:proofErr w:type="spellStart"/>
      <w:r>
        <w:t>Transepidermal</w:t>
      </w:r>
      <w:proofErr w:type="spellEnd"/>
      <w:r>
        <w:t xml:space="preserve"> water loss</w:t>
      </w:r>
      <w:r>
        <w:t>，</w:t>
      </w:r>
      <w:r>
        <w:t>TEWL</w:t>
      </w:r>
      <w:r>
        <w:t>）、油脂等皮肤屏障功能，评估两组治疗结束后</w:t>
      </w:r>
      <w:r>
        <w:t>1</w:t>
      </w:r>
      <w:r>
        <w:t>个月的总有效率，并记录</w:t>
      </w:r>
      <w:r>
        <w:t xml:space="preserve"> </w:t>
      </w:r>
      <w:r>
        <w:t>不良反应发生情况。结果：治疗后，两组</w:t>
      </w:r>
      <w:proofErr w:type="gramStart"/>
      <w:r>
        <w:t>各症状</w:t>
      </w:r>
      <w:proofErr w:type="gramEnd"/>
      <w:r>
        <w:t>评分、总分及</w:t>
      </w:r>
      <w:r>
        <w:t>TEWL</w:t>
      </w:r>
      <w:r>
        <w:t>均明显低于治疗前（</w:t>
      </w:r>
      <w:r>
        <w:t>P</w:t>
      </w:r>
      <w:r>
        <w:t>＜</w:t>
      </w:r>
      <w:r>
        <w:t>0.05</w:t>
      </w:r>
      <w:r>
        <w:t>），</w:t>
      </w:r>
      <w:proofErr w:type="gramStart"/>
      <w:r>
        <w:t>且联合</w:t>
      </w:r>
      <w:proofErr w:type="gramEnd"/>
      <w:r>
        <w:t>组均明显低于</w:t>
      </w:r>
      <w:r>
        <w:t xml:space="preserve"> IPL</w:t>
      </w:r>
      <w:r>
        <w:t>组（</w:t>
      </w:r>
      <w:r>
        <w:t>P</w:t>
      </w:r>
      <w:r>
        <w:t>＜</w:t>
      </w:r>
      <w:r>
        <w:t>0.05</w:t>
      </w:r>
      <w:r>
        <w:t>）；两组角质层含水量、油脂含量均明显高于治疗前（</w:t>
      </w:r>
      <w:r>
        <w:t>P</w:t>
      </w:r>
      <w:r>
        <w:t>＜</w:t>
      </w:r>
      <w:r>
        <w:t>0.05</w:t>
      </w:r>
      <w:r>
        <w:t>），</w:t>
      </w:r>
      <w:proofErr w:type="gramStart"/>
      <w:r>
        <w:t>且联合</w:t>
      </w:r>
      <w:proofErr w:type="gramEnd"/>
      <w:r>
        <w:t>组均明显高于</w:t>
      </w:r>
      <w:r>
        <w:t>IPL</w:t>
      </w:r>
      <w:r>
        <w:t>组（</w:t>
      </w:r>
      <w:r>
        <w:t>P</w:t>
      </w:r>
      <w:r>
        <w:t>＜</w:t>
      </w:r>
      <w:r>
        <w:t>0.05</w:t>
      </w:r>
      <w:r>
        <w:t>）；联合组</w:t>
      </w:r>
      <w:r>
        <w:t xml:space="preserve"> </w:t>
      </w:r>
      <w:r>
        <w:t>总有效率为</w:t>
      </w:r>
      <w:r>
        <w:t>86.67%</w:t>
      </w:r>
      <w:r>
        <w:t>，明显高于</w:t>
      </w:r>
      <w:r>
        <w:t>IPL</w:t>
      </w:r>
      <w:r>
        <w:t>组的</w:t>
      </w:r>
      <w:r>
        <w:t>63.33%</w:t>
      </w:r>
      <w:r>
        <w:t>（</w:t>
      </w:r>
      <w:r>
        <w:t>P</w:t>
      </w:r>
      <w:r>
        <w:t>＜</w:t>
      </w:r>
      <w:r>
        <w:t>0.05</w:t>
      </w:r>
      <w:r>
        <w:t>）；联合组不良反应发生率为</w:t>
      </w:r>
      <w:r>
        <w:t>6.67%</w:t>
      </w:r>
      <w:r>
        <w:t>，明显低于</w:t>
      </w:r>
      <w:r>
        <w:t>IPL</w:t>
      </w:r>
      <w:r>
        <w:t>组的</w:t>
      </w:r>
      <w:r>
        <w:t>26.67%</w:t>
      </w:r>
      <w:r>
        <w:t>（</w:t>
      </w:r>
      <w:r>
        <w:t>P</w:t>
      </w:r>
      <w:r>
        <w:t>＜</w:t>
      </w:r>
      <w:r>
        <w:t>0.05</w:t>
      </w:r>
      <w:r>
        <w:t>）。结</w:t>
      </w:r>
      <w:r>
        <w:t xml:space="preserve"> </w:t>
      </w:r>
      <w:r>
        <w:t>论：</w:t>
      </w:r>
      <w:r>
        <w:t>IPL</w:t>
      </w:r>
      <w:r>
        <w:t>联合</w:t>
      </w:r>
      <w:r>
        <w:t>PRP</w:t>
      </w:r>
      <w:r>
        <w:t>注射治疗玫瑰痤疮效果显著，可明显改善患者皮肤屏障功能，有效促进症状消退，且不良反应较少。</w:t>
      </w:r>
      <w:r>
        <w:t xml:space="preserve"> </w:t>
      </w:r>
    </w:p>
    <w:p w14:paraId="3338500D" w14:textId="77777777" w:rsidR="00FF6664" w:rsidRDefault="00FF6664" w:rsidP="0074562B"/>
    <w:p w14:paraId="1CCF8772" w14:textId="6DBE2903" w:rsidR="00FF6664" w:rsidRDefault="0074562B" w:rsidP="0074562B">
      <w:r>
        <w:t>[</w:t>
      </w:r>
      <w:r>
        <w:t>关键词</w:t>
      </w:r>
      <w:r>
        <w:t>]</w:t>
      </w:r>
      <w:r>
        <w:t>强脉冲光；自体富血小板血浆；玫瑰痤疮；皮肤屏障功能；注射</w:t>
      </w:r>
      <w:r>
        <w:t xml:space="preserve"> </w:t>
      </w:r>
    </w:p>
    <w:p w14:paraId="702159ED" w14:textId="77777777" w:rsidR="00FF6664" w:rsidRDefault="00FF6664" w:rsidP="0074562B"/>
    <w:p w14:paraId="1AF79EA9" w14:textId="77777777" w:rsidR="00FF6664" w:rsidRDefault="0074562B" w:rsidP="0074562B">
      <w:r>
        <w:t>[</w:t>
      </w:r>
      <w:r>
        <w:t>中图分类号</w:t>
      </w:r>
      <w:r>
        <w:t>]R758.73+ 4 [</w:t>
      </w:r>
      <w:r>
        <w:t>文献标志码</w:t>
      </w:r>
      <w:r>
        <w:t>]A [</w:t>
      </w:r>
      <w:r>
        <w:t>文章编号</w:t>
      </w:r>
      <w:r>
        <w:t>]1008-6455</w:t>
      </w:r>
      <w:r>
        <w:t>（</w:t>
      </w:r>
      <w:r>
        <w:t>2023</w:t>
      </w:r>
      <w:r>
        <w:t>）</w:t>
      </w:r>
      <w:r>
        <w:t xml:space="preserve">10-0102-03 </w:t>
      </w:r>
    </w:p>
    <w:p w14:paraId="7DEA568A" w14:textId="77777777" w:rsidR="00FF6664" w:rsidRDefault="00FF6664" w:rsidP="0074562B"/>
    <w:p w14:paraId="368317C5" w14:textId="77777777" w:rsidR="00FF6664" w:rsidRDefault="0074562B" w:rsidP="0074562B">
      <w:r>
        <w:t xml:space="preserve">Clinical Observation of Intense Pulsed Light Combined with PRP Injection in the Treatment of Rosacea </w:t>
      </w:r>
    </w:p>
    <w:p w14:paraId="7DE28339" w14:textId="77777777" w:rsidR="00FF6664" w:rsidRDefault="00FF6664" w:rsidP="0074562B"/>
    <w:p w14:paraId="7C83498F" w14:textId="5E33A234" w:rsidR="00FF6664" w:rsidRDefault="0074562B" w:rsidP="0074562B">
      <w:r>
        <w:t xml:space="preserve">ZHU </w:t>
      </w:r>
      <w:proofErr w:type="spellStart"/>
      <w:proofErr w:type="gramStart"/>
      <w:r>
        <w:t>Xinhua,ZHANG</w:t>
      </w:r>
      <w:proofErr w:type="spellEnd"/>
      <w:proofErr w:type="gramEnd"/>
      <w:r>
        <w:t xml:space="preserve"> </w:t>
      </w:r>
      <w:proofErr w:type="spellStart"/>
      <w:r>
        <w:t>Erjia,FU</w:t>
      </w:r>
      <w:proofErr w:type="spellEnd"/>
      <w:r>
        <w:t xml:space="preserve"> Mengyao </w:t>
      </w:r>
    </w:p>
    <w:p w14:paraId="3777ECA5" w14:textId="77777777" w:rsidR="00FF6664" w:rsidRDefault="00FF6664" w:rsidP="0074562B"/>
    <w:p w14:paraId="451535FA" w14:textId="53A9E30B" w:rsidR="00AC5E0D" w:rsidRDefault="0074562B" w:rsidP="0074562B">
      <w:r>
        <w:t xml:space="preserve">(Department of Skin and Plastic Surgery,731 Hospital of China Aerospace Science and Industry </w:t>
      </w:r>
      <w:proofErr w:type="spellStart"/>
      <w:proofErr w:type="gramStart"/>
      <w:r>
        <w:t>Group,Beijing</w:t>
      </w:r>
      <w:proofErr w:type="spellEnd"/>
      <w:proofErr w:type="gramEnd"/>
      <w:r>
        <w:t xml:space="preserve"> 100074,China)</w:t>
      </w:r>
    </w:p>
    <w:p w14:paraId="1CB031B6" w14:textId="77777777" w:rsidR="0074562B" w:rsidRDefault="0074562B" w:rsidP="0074562B"/>
    <w:p w14:paraId="3A7F6BAC" w14:textId="77777777" w:rsidR="0074562B" w:rsidRDefault="0074562B" w:rsidP="0074562B">
      <w:r>
        <w:t xml:space="preserve">Abstract: Objective To observe the clinical effect of intense pulsed light (IPL) combined with platelet-rich plasma (PRP) injection in the treatment of rosacea. Methods From May 2021 to February 2022, 60 patients with rosacea who were admitted to the author's hospital were taken and randomly grouped into IPL group (n=30, IPL treatment) and combination group (n=30, IPL combined with PRP injection treatment). Symptoms were quantitatively assessed before and after treatment, and skin physiological parameters such as stratum corneum water content, </w:t>
      </w:r>
      <w:proofErr w:type="spellStart"/>
      <w:r>
        <w:t>transepidermal</w:t>
      </w:r>
      <w:proofErr w:type="spellEnd"/>
      <w:r>
        <w:t xml:space="preserve"> water loss (TEWL), and oil were detected, and the total eff </w:t>
      </w:r>
      <w:proofErr w:type="spellStart"/>
      <w:r>
        <w:t>ective</w:t>
      </w:r>
      <w:proofErr w:type="spellEnd"/>
      <w:r>
        <w:t xml:space="preserve"> rate of the two groups at one month after treatment was evaluated, and the occurrence of adverse reactions was recorded. Results After treatment, the symptom scores, total score and TEWL of the two groups were obviously lower than those before treatment (P</w:t>
      </w:r>
      <w:r>
        <w:t>＜</w:t>
      </w:r>
      <w:r>
        <w:t>0.05), and the combination group were obviously lower than those of the IPL group (P</w:t>
      </w:r>
      <w:r>
        <w:t>＜</w:t>
      </w:r>
      <w:r>
        <w:t>0.05); the water content and oil content of the stratum corneum in the two groups were obviously higher than those before treatment (P</w:t>
      </w:r>
      <w:r>
        <w:t>＜</w:t>
      </w:r>
      <w:r>
        <w:t>0.05), and the combined group were obviously higher than the IPL group (P</w:t>
      </w:r>
      <w:r>
        <w:t>＜</w:t>
      </w:r>
      <w:r>
        <w:t xml:space="preserve">0.05); the total eff </w:t>
      </w:r>
      <w:proofErr w:type="spellStart"/>
      <w:r>
        <w:t>ective</w:t>
      </w:r>
      <w:proofErr w:type="spellEnd"/>
      <w:r>
        <w:t xml:space="preserve"> rate of the combined group was 86.67%, which was obviously higher than 63.33% of the IPL group </w:t>
      </w:r>
      <w:r>
        <w:lastRenderedPageBreak/>
        <w:t>(P</w:t>
      </w:r>
      <w:r>
        <w:t>＜</w:t>
      </w:r>
      <w:r>
        <w:t>0.05); the incidence of adverse reactions in the combination group was 6.67%, which was obviously lower than 26.67% of the IPL group (P</w:t>
      </w:r>
      <w:r>
        <w:t>＜</w:t>
      </w:r>
      <w:r>
        <w:t xml:space="preserve">0.05). Conclusion IPL combined with PRP injection therapy show </w:t>
      </w:r>
      <w:proofErr w:type="spellStart"/>
      <w:r>
        <w:t>signifi</w:t>
      </w:r>
      <w:proofErr w:type="spellEnd"/>
      <w:r>
        <w:t xml:space="preserve"> </w:t>
      </w:r>
      <w:proofErr w:type="gramStart"/>
      <w:r>
        <w:t>cant</w:t>
      </w:r>
      <w:proofErr w:type="gramEnd"/>
      <w:r>
        <w:t xml:space="preserve"> </w:t>
      </w:r>
      <w:proofErr w:type="spellStart"/>
      <w:r>
        <w:t>effi</w:t>
      </w:r>
      <w:proofErr w:type="spellEnd"/>
      <w:r>
        <w:t xml:space="preserve"> </w:t>
      </w:r>
      <w:proofErr w:type="spellStart"/>
      <w:r>
        <w:t>cacy</w:t>
      </w:r>
      <w:proofErr w:type="spellEnd"/>
      <w:r>
        <w:t xml:space="preserve"> for rosacea patients, it can obviously ameliorate skin physiological parameters, eff </w:t>
      </w:r>
      <w:proofErr w:type="spellStart"/>
      <w:r>
        <w:t>ectively</w:t>
      </w:r>
      <w:proofErr w:type="spellEnd"/>
      <w:r>
        <w:t xml:space="preserve"> promote symptom subsidence, and has fewer adverse reactions. </w:t>
      </w:r>
    </w:p>
    <w:p w14:paraId="0A839277" w14:textId="77777777" w:rsidR="0074562B" w:rsidRDefault="0074562B" w:rsidP="0074562B"/>
    <w:p w14:paraId="1594D3AE" w14:textId="455289F7" w:rsidR="0074562B" w:rsidRPr="0074562B" w:rsidRDefault="0074562B" w:rsidP="0074562B">
      <w:pPr>
        <w:rPr>
          <w:rFonts w:hint="eastAsia"/>
        </w:rPr>
      </w:pPr>
      <w:r>
        <w:t>Key words: intense pulsed light; autologous platelet-rich plasma; rosacea; skin physiological parameters; injection</w:t>
      </w:r>
    </w:p>
    <w:sectPr w:rsidR="0074562B" w:rsidRPr="0074562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A21DA671-CC8D-40D4-949F-1C520898835C}"/>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F0490"/>
    <w:rsid w:val="000F500C"/>
    <w:rsid w:val="000F6A46"/>
    <w:rsid w:val="0010184F"/>
    <w:rsid w:val="0011007C"/>
    <w:rsid w:val="00114FA6"/>
    <w:rsid w:val="00120E9C"/>
    <w:rsid w:val="001220DB"/>
    <w:rsid w:val="0012241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C58FF"/>
    <w:rsid w:val="001D1E26"/>
    <w:rsid w:val="001D3916"/>
    <w:rsid w:val="001D49F3"/>
    <w:rsid w:val="001E1B6F"/>
    <w:rsid w:val="001E1C51"/>
    <w:rsid w:val="001E28AB"/>
    <w:rsid w:val="001E4621"/>
    <w:rsid w:val="001E59BD"/>
    <w:rsid w:val="001E6B7E"/>
    <w:rsid w:val="001E799E"/>
    <w:rsid w:val="00200042"/>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6432"/>
    <w:rsid w:val="002A68AE"/>
    <w:rsid w:val="002A6D93"/>
    <w:rsid w:val="002B3F84"/>
    <w:rsid w:val="002C08FE"/>
    <w:rsid w:val="002D506F"/>
    <w:rsid w:val="002D64FF"/>
    <w:rsid w:val="002E06E4"/>
    <w:rsid w:val="002E45F6"/>
    <w:rsid w:val="002E7DEC"/>
    <w:rsid w:val="002F2E82"/>
    <w:rsid w:val="002F55F4"/>
    <w:rsid w:val="002F65E0"/>
    <w:rsid w:val="00301354"/>
    <w:rsid w:val="003063D8"/>
    <w:rsid w:val="00310D14"/>
    <w:rsid w:val="00310DD2"/>
    <w:rsid w:val="00310FBA"/>
    <w:rsid w:val="003157A0"/>
    <w:rsid w:val="003179EC"/>
    <w:rsid w:val="0032578D"/>
    <w:rsid w:val="003329CF"/>
    <w:rsid w:val="00337227"/>
    <w:rsid w:val="00337F6B"/>
    <w:rsid w:val="00340429"/>
    <w:rsid w:val="003423DD"/>
    <w:rsid w:val="00342627"/>
    <w:rsid w:val="00351B5A"/>
    <w:rsid w:val="0035315D"/>
    <w:rsid w:val="00357132"/>
    <w:rsid w:val="00357383"/>
    <w:rsid w:val="003576DC"/>
    <w:rsid w:val="003725D9"/>
    <w:rsid w:val="00372B47"/>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3D06"/>
    <w:rsid w:val="0047491C"/>
    <w:rsid w:val="004779A7"/>
    <w:rsid w:val="00481E1B"/>
    <w:rsid w:val="00490408"/>
    <w:rsid w:val="004915A9"/>
    <w:rsid w:val="00495EDF"/>
    <w:rsid w:val="004A469A"/>
    <w:rsid w:val="004A5C83"/>
    <w:rsid w:val="004B03B8"/>
    <w:rsid w:val="004B1AA2"/>
    <w:rsid w:val="004B5E3D"/>
    <w:rsid w:val="004B6006"/>
    <w:rsid w:val="004C3CA7"/>
    <w:rsid w:val="004C6DA4"/>
    <w:rsid w:val="004D49F2"/>
    <w:rsid w:val="004D7463"/>
    <w:rsid w:val="004D7881"/>
    <w:rsid w:val="004D7BA8"/>
    <w:rsid w:val="004E6D8C"/>
    <w:rsid w:val="004E73D3"/>
    <w:rsid w:val="004F3C6A"/>
    <w:rsid w:val="004F4C98"/>
    <w:rsid w:val="004F5533"/>
    <w:rsid w:val="004F7AA4"/>
    <w:rsid w:val="005047F6"/>
    <w:rsid w:val="0050651D"/>
    <w:rsid w:val="005107D7"/>
    <w:rsid w:val="00510F68"/>
    <w:rsid w:val="0051694C"/>
    <w:rsid w:val="00525F2A"/>
    <w:rsid w:val="00532FBD"/>
    <w:rsid w:val="005361F7"/>
    <w:rsid w:val="00537BDA"/>
    <w:rsid w:val="00546586"/>
    <w:rsid w:val="00560801"/>
    <w:rsid w:val="0056306C"/>
    <w:rsid w:val="005655F2"/>
    <w:rsid w:val="005659C6"/>
    <w:rsid w:val="0057638E"/>
    <w:rsid w:val="00581F11"/>
    <w:rsid w:val="00584D48"/>
    <w:rsid w:val="00591EB0"/>
    <w:rsid w:val="005955FA"/>
    <w:rsid w:val="005C7FF4"/>
    <w:rsid w:val="005D358D"/>
    <w:rsid w:val="005D37D9"/>
    <w:rsid w:val="005D4F52"/>
    <w:rsid w:val="005D6AF1"/>
    <w:rsid w:val="005D7C20"/>
    <w:rsid w:val="005E5D12"/>
    <w:rsid w:val="005E5F0F"/>
    <w:rsid w:val="005E7193"/>
    <w:rsid w:val="005F0C55"/>
    <w:rsid w:val="005F35DD"/>
    <w:rsid w:val="005F4D98"/>
    <w:rsid w:val="005F600D"/>
    <w:rsid w:val="00603F55"/>
    <w:rsid w:val="00610DFB"/>
    <w:rsid w:val="00612597"/>
    <w:rsid w:val="00613424"/>
    <w:rsid w:val="006170CE"/>
    <w:rsid w:val="00621782"/>
    <w:rsid w:val="00621957"/>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70386"/>
    <w:rsid w:val="006706A4"/>
    <w:rsid w:val="006737ED"/>
    <w:rsid w:val="00674B20"/>
    <w:rsid w:val="006753C0"/>
    <w:rsid w:val="00684D3A"/>
    <w:rsid w:val="00694343"/>
    <w:rsid w:val="006A4A02"/>
    <w:rsid w:val="006A521A"/>
    <w:rsid w:val="006B2B32"/>
    <w:rsid w:val="006B3AAC"/>
    <w:rsid w:val="006B4B53"/>
    <w:rsid w:val="006B757C"/>
    <w:rsid w:val="006C314C"/>
    <w:rsid w:val="006C4142"/>
    <w:rsid w:val="006D0D53"/>
    <w:rsid w:val="006D33B2"/>
    <w:rsid w:val="006D635A"/>
    <w:rsid w:val="006D6D8B"/>
    <w:rsid w:val="006E3987"/>
    <w:rsid w:val="006E68BE"/>
    <w:rsid w:val="006F32E4"/>
    <w:rsid w:val="006F7141"/>
    <w:rsid w:val="0070000F"/>
    <w:rsid w:val="00704033"/>
    <w:rsid w:val="00707417"/>
    <w:rsid w:val="00721B70"/>
    <w:rsid w:val="007255A4"/>
    <w:rsid w:val="007300B2"/>
    <w:rsid w:val="00733B85"/>
    <w:rsid w:val="00733E1B"/>
    <w:rsid w:val="00737539"/>
    <w:rsid w:val="00737977"/>
    <w:rsid w:val="00741088"/>
    <w:rsid w:val="00744B33"/>
    <w:rsid w:val="0074562B"/>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23A0"/>
    <w:rsid w:val="007D3DE8"/>
    <w:rsid w:val="007D4CAE"/>
    <w:rsid w:val="007D4F47"/>
    <w:rsid w:val="007D702E"/>
    <w:rsid w:val="007E1E1A"/>
    <w:rsid w:val="007E4813"/>
    <w:rsid w:val="007E589B"/>
    <w:rsid w:val="007F018C"/>
    <w:rsid w:val="007F47E9"/>
    <w:rsid w:val="007F4FF6"/>
    <w:rsid w:val="0080285A"/>
    <w:rsid w:val="008061D5"/>
    <w:rsid w:val="00807015"/>
    <w:rsid w:val="00817CC3"/>
    <w:rsid w:val="00823940"/>
    <w:rsid w:val="00824F21"/>
    <w:rsid w:val="00826E5C"/>
    <w:rsid w:val="00830FBE"/>
    <w:rsid w:val="00835505"/>
    <w:rsid w:val="00835F67"/>
    <w:rsid w:val="008370C6"/>
    <w:rsid w:val="00851D83"/>
    <w:rsid w:val="008606A5"/>
    <w:rsid w:val="008622EF"/>
    <w:rsid w:val="00873BFE"/>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101F"/>
    <w:rsid w:val="009A3E97"/>
    <w:rsid w:val="009A6831"/>
    <w:rsid w:val="009B2830"/>
    <w:rsid w:val="009B47E6"/>
    <w:rsid w:val="009B6ABE"/>
    <w:rsid w:val="009C6F4A"/>
    <w:rsid w:val="009D0192"/>
    <w:rsid w:val="009D16FF"/>
    <w:rsid w:val="009D3D2F"/>
    <w:rsid w:val="009D68F8"/>
    <w:rsid w:val="009E049E"/>
    <w:rsid w:val="009E0A3B"/>
    <w:rsid w:val="009E19C0"/>
    <w:rsid w:val="009E1B54"/>
    <w:rsid w:val="009E4C1C"/>
    <w:rsid w:val="009F02E1"/>
    <w:rsid w:val="009F3314"/>
    <w:rsid w:val="009F4355"/>
    <w:rsid w:val="009F6BBD"/>
    <w:rsid w:val="00A02F1F"/>
    <w:rsid w:val="00A04917"/>
    <w:rsid w:val="00A05051"/>
    <w:rsid w:val="00A05C59"/>
    <w:rsid w:val="00A07A2B"/>
    <w:rsid w:val="00A119D5"/>
    <w:rsid w:val="00A200A3"/>
    <w:rsid w:val="00A24D59"/>
    <w:rsid w:val="00A26BB2"/>
    <w:rsid w:val="00A33E6F"/>
    <w:rsid w:val="00A34A9E"/>
    <w:rsid w:val="00A353A0"/>
    <w:rsid w:val="00A36638"/>
    <w:rsid w:val="00A401BC"/>
    <w:rsid w:val="00A4287F"/>
    <w:rsid w:val="00A42C2D"/>
    <w:rsid w:val="00A4544F"/>
    <w:rsid w:val="00A513C4"/>
    <w:rsid w:val="00A5288B"/>
    <w:rsid w:val="00A52B79"/>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E00A1C"/>
    <w:rsid w:val="00E04F11"/>
    <w:rsid w:val="00E05EE3"/>
    <w:rsid w:val="00E07BDE"/>
    <w:rsid w:val="00E11414"/>
    <w:rsid w:val="00E12AD1"/>
    <w:rsid w:val="00E12FAC"/>
    <w:rsid w:val="00E17ED0"/>
    <w:rsid w:val="00E21237"/>
    <w:rsid w:val="00E21D7D"/>
    <w:rsid w:val="00E25029"/>
    <w:rsid w:val="00E2737B"/>
    <w:rsid w:val="00E429CD"/>
    <w:rsid w:val="00E4372C"/>
    <w:rsid w:val="00E439E8"/>
    <w:rsid w:val="00E46DE5"/>
    <w:rsid w:val="00E52257"/>
    <w:rsid w:val="00E64246"/>
    <w:rsid w:val="00E64659"/>
    <w:rsid w:val="00E67009"/>
    <w:rsid w:val="00E74D28"/>
    <w:rsid w:val="00E81217"/>
    <w:rsid w:val="00E837BA"/>
    <w:rsid w:val="00E84A42"/>
    <w:rsid w:val="00E90C18"/>
    <w:rsid w:val="00E91109"/>
    <w:rsid w:val="00E926BF"/>
    <w:rsid w:val="00E94087"/>
    <w:rsid w:val="00E95981"/>
    <w:rsid w:val="00E964DD"/>
    <w:rsid w:val="00E977A7"/>
    <w:rsid w:val="00EA271C"/>
    <w:rsid w:val="00EA6643"/>
    <w:rsid w:val="00EA741B"/>
    <w:rsid w:val="00EA7C27"/>
    <w:rsid w:val="00EB0436"/>
    <w:rsid w:val="00EB063D"/>
    <w:rsid w:val="00EB373B"/>
    <w:rsid w:val="00EC094D"/>
    <w:rsid w:val="00EC1CF5"/>
    <w:rsid w:val="00EC1D37"/>
    <w:rsid w:val="00EC2B03"/>
    <w:rsid w:val="00EE3874"/>
    <w:rsid w:val="00EE5CB2"/>
    <w:rsid w:val="00EF2C20"/>
    <w:rsid w:val="00F029A0"/>
    <w:rsid w:val="00F16062"/>
    <w:rsid w:val="00F1612C"/>
    <w:rsid w:val="00F20420"/>
    <w:rsid w:val="00F21F00"/>
    <w:rsid w:val="00F22F9D"/>
    <w:rsid w:val="00F23ADA"/>
    <w:rsid w:val="00F24E34"/>
    <w:rsid w:val="00F27E19"/>
    <w:rsid w:val="00F31281"/>
    <w:rsid w:val="00F33AEE"/>
    <w:rsid w:val="00F421E0"/>
    <w:rsid w:val="00F4251C"/>
    <w:rsid w:val="00F4457C"/>
    <w:rsid w:val="00F51219"/>
    <w:rsid w:val="00F53310"/>
    <w:rsid w:val="00F56281"/>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13670</TotalTime>
  <Pages>2</Pages>
  <Words>413</Words>
  <Characters>2358</Characters>
  <Application>Microsoft Office Word</Application>
  <DocSecurity>0</DocSecurity>
  <Lines>19</Lines>
  <Paragraphs>5</Paragraphs>
  <ScaleCrop>false</ScaleCrop>
  <Company/>
  <LinksUpToDate>false</LinksUpToDate>
  <CharactersWithSpaces>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1821</cp:revision>
  <dcterms:created xsi:type="dcterms:W3CDTF">2022-07-04T07:48:00Z</dcterms:created>
  <dcterms:modified xsi:type="dcterms:W3CDTF">2023-11-03T07:53:00Z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