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8C350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正畸配合牙槽骨再生术治疗成人中重度牙周炎错</w:t>
      </w:r>
      <w:r w:rsidRPr="00F14429">
        <w:rPr>
          <w:rFonts w:ascii="方正小标宋_GBK" w:eastAsia="方正小标宋_GBK" w:hAnsi="宋体" w:cs="宋体" w:hint="eastAsia"/>
          <w:color w:val="90268F"/>
          <w:kern w:val="0"/>
          <w:sz w:val="24"/>
          <w:szCs w:val="24"/>
        </w:rPr>
        <w:t>牙合</w:t>
      </w:r>
      <w:r w:rsidRPr="00F14429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畸形临床疗效分析 </w:t>
      </w:r>
    </w:p>
    <w:p w14:paraId="6DD9921A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黄 婧，颜孟雄，童国勇，邓亮亮 </w:t>
      </w:r>
    </w:p>
    <w:p w14:paraId="4EC6D892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（恩施土家族苗族自治州中心医院口腔诊疗中心 湖北 恩施 445000） </w:t>
      </w:r>
    </w:p>
    <w:p w14:paraId="3D6F2CE2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探究正畸配合牙槽骨再生治疗成人中重度牙周炎错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畸形的临床疗效。</w:t>
      </w: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选取笔者医院2017年1月-2021年 </w:t>
      </w:r>
    </w:p>
    <w:p w14:paraId="6D19BDC1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1月收治的102例中重度牙周炎错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畸形成人患者，采取正畸配合牙槽骨再生治疗。比较患者治疗前后牙周情况、牙齿松动 </w:t>
      </w:r>
    </w:p>
    <w:p w14:paraId="0F918549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度、咬合关系及美观性。</w:t>
      </w: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相较于治疗前，患者治疗后3个月及治疗后6个月的牙周探诊深度、附着丧失、龈沟出血指数 </w:t>
      </w:r>
    </w:p>
    <w:p w14:paraId="5CB2F1D9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值均逐渐减小，牙齿松动Ⅱ度及Ⅲ度例数、咬合时间、左右侧咬合力平衡度均逐渐减少（均P＜0.05），牙齿松动Ⅰ度例数 </w:t>
      </w:r>
    </w:p>
    <w:p w14:paraId="57F4F1BD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及咬合力占最大咬合力百分比均逐渐增加（P＜0.05）；患者治疗后6个月、治疗后1年，IOTN-AC美观评分、上下唇角及软组 </w:t>
      </w:r>
    </w:p>
    <w:p w14:paraId="6AEACCAE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织面角均较治疗前逐渐降低（P＜0.05），鼻唇角、颏唇沟角均逐渐增大（P＜0.05）。</w:t>
      </w: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正畸配合牙槽骨再生治疗中重 </w:t>
      </w:r>
    </w:p>
    <w:p w14:paraId="4CBB1410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度牙周炎错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畸形患者效果显著，可有效改善患者牙槽骨吸收及牙齿松动情况，促进患者咬合功能恢复，提升面部美观度。 </w:t>
      </w:r>
    </w:p>
    <w:p w14:paraId="3FFD9689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牙槽骨再生技术；正畸；成人；牙周炎；错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4"/>
          <w:szCs w:val="14"/>
        </w:rPr>
        <w:t>牙合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畸形 </w:t>
      </w:r>
    </w:p>
    <w:p w14:paraId="7E84CEBF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R783.5 </w:t>
      </w: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F14429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F14429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1008-6455（2023）11-0119-04 </w:t>
      </w:r>
    </w:p>
    <w:p w14:paraId="47FC7271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Effi </w:t>
      </w:r>
      <w:proofErr w:type="spellStart"/>
      <w:r w:rsidRPr="00F14429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>cacy</w:t>
      </w:r>
      <w:proofErr w:type="spellEnd"/>
      <w:r w:rsidRPr="00F14429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 of Alveolar Bone Regeneration Orthodontic Treatment on Adults with </w:t>
      </w:r>
    </w:p>
    <w:p w14:paraId="3ABF3909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Moderate-to-Severe Periodontitis with Malocclusion </w:t>
      </w:r>
    </w:p>
    <w:p w14:paraId="54FBDBE5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HUANG </w:t>
      </w:r>
      <w:proofErr w:type="spellStart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Jing,YAN</w:t>
      </w:r>
      <w:proofErr w:type="spellEnd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Mengxiong,TONG</w:t>
      </w:r>
      <w:proofErr w:type="spellEnd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Guoyong,DENG</w:t>
      </w:r>
      <w:proofErr w:type="spellEnd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Liangliang</w:t>
      </w:r>
      <w:proofErr w:type="spellEnd"/>
      <w:r w:rsidRPr="00F14429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5D2FC0EC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(Center of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Stomatology,the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Central Hospital of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Enshi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Tujia and Miao Autonomous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Prefecture,Enshi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445000,Hubei,China) </w:t>
      </w:r>
    </w:p>
    <w:p w14:paraId="0C090AAF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To explore the clinical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cacy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and aesthetic eff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of alveolar bone regeneration orthodontic treatment </w:t>
      </w:r>
    </w:p>
    <w:p w14:paraId="51EB9318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on adults with moderate-to-severe periodontitis with malocclusion. </w:t>
      </w:r>
      <w:r w:rsidRPr="00F14429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102 adults with moderate-to-severe periodontitis </w:t>
      </w:r>
    </w:p>
    <w:p w14:paraId="5576F069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complicated with malocclusion who were treated in author’s hospital were selected between January 2017 and January 2021, </w:t>
      </w:r>
    </w:p>
    <w:p w14:paraId="4EF1CD2D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and they received alveolar bone regeneration combined with orthodontic treatment. The periodontal status, tooth mobility, </w:t>
      </w:r>
    </w:p>
    <w:p w14:paraId="2D5919CE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occlusal relation and aesthetics of patients were compared before and after treatment.</w:t>
      </w:r>
      <w:r w:rsidRPr="00F14429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 Results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Compared with before treatment, </w:t>
      </w:r>
    </w:p>
    <w:p w14:paraId="4E3FC13C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the periodontal probing depth, attachment loss, sulcus bleeding index , the number of cases with degree Ⅱ and degree Ⅲ </w:t>
      </w:r>
    </w:p>
    <w:p w14:paraId="7EE50CFC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tooth mobility, the occlusal time and bite force distribution balance of patients at 3 months and 6 months after treatment were </w:t>
      </w:r>
    </w:p>
    <w:p w14:paraId="343018DB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>gradually decreased (P</w:t>
      </w:r>
      <w:r w:rsidRPr="00F14429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number of cases with degree I tooth mobility and the maximum area bite force/max movie </w:t>
      </w:r>
    </w:p>
    <w:p w14:paraId="34366665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force were increased gradually (P</w:t>
      </w:r>
      <w:r w:rsidRPr="00F14429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0.05). Compared with that before treatment, the patients' IOTN-AC aesthetic score, upper </w:t>
      </w:r>
    </w:p>
    <w:p w14:paraId="26030C8E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and lower lip angles and soft tissue facial angles decreased gradually 6 months after treatment and 1 year after treatment </w:t>
      </w:r>
    </w:p>
    <w:p w14:paraId="5E057196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(P</w:t>
      </w:r>
      <w:r w:rsidRPr="00F14429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0.05), and nasolabial angle and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geniolabial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groove angle increased gradually (P</w:t>
      </w:r>
      <w:r w:rsidRPr="00F14429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0.05).</w:t>
      </w:r>
      <w:r w:rsidRPr="00F14429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 Conclusion 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Alveolar bone </w:t>
      </w:r>
    </w:p>
    <w:p w14:paraId="11E364B5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regeneration orthodontic treatment has a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cant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effi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cacy</w:t>
      </w:r>
      <w:proofErr w:type="spellEnd"/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 on patients with moderate-to-severe periodontitis and malocclusion. </w:t>
      </w:r>
    </w:p>
    <w:p w14:paraId="5B9B25BB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It can effectively improve the alveolar bone resorption and tooth mobility, promote the recovery of occlusal function, and </w:t>
      </w:r>
    </w:p>
    <w:p w14:paraId="6A0356B1" w14:textId="77777777" w:rsidR="00F14429" w:rsidRPr="00F14429" w:rsidRDefault="00F14429" w:rsidP="00F14429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 xml:space="preserve">enhance the facial aesthetic degree, with high clinical value. </w:t>
      </w:r>
    </w:p>
    <w:p w14:paraId="261CF90C" w14:textId="1D21A363" w:rsidR="003B019F" w:rsidRPr="00F14429" w:rsidRDefault="00F14429" w:rsidP="00F14429">
      <w:r w:rsidRPr="00F14429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Key words: </w:t>
      </w:r>
      <w:r w:rsidRPr="00F14429">
        <w:rPr>
          <w:rFonts w:ascii="Times New Roman" w:hAnsi="Times New Roman"/>
          <w:color w:val="231F20"/>
          <w:kern w:val="0"/>
          <w:sz w:val="19"/>
          <w:szCs w:val="19"/>
        </w:rPr>
        <w:t>alveolar bone regeneration technique; orthodontics; adults; periodontitis; malocclusion</w:t>
      </w:r>
    </w:p>
    <w:sectPr w:rsidR="003B019F" w:rsidRPr="00F144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D9509" w14:textId="77777777" w:rsidR="00C71D8B" w:rsidRDefault="00C71D8B" w:rsidP="003724AB">
      <w:r>
        <w:separator/>
      </w:r>
    </w:p>
  </w:endnote>
  <w:endnote w:type="continuationSeparator" w:id="0">
    <w:p w14:paraId="2C7A5C39" w14:textId="77777777" w:rsidR="00C71D8B" w:rsidRDefault="00C71D8B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9BC2C139-03D3-4BCC-B9CC-7540627E3122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1DB6BB8-6AD8-4724-809A-D78A8BAA8039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6B394D2F-BBB7-4939-ACBF-AF109BFC8089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02FE510C-0F0F-400F-8019-4913FDC77552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A3F94" w14:textId="77777777" w:rsidR="00C71D8B" w:rsidRDefault="00C71D8B" w:rsidP="003724AB">
      <w:r>
        <w:separator/>
      </w:r>
    </w:p>
  </w:footnote>
  <w:footnote w:type="continuationSeparator" w:id="0">
    <w:p w14:paraId="2EFC81EA" w14:textId="77777777" w:rsidR="00C71D8B" w:rsidRDefault="00C71D8B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14299</TotalTime>
  <Pages>2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2034</cp:revision>
  <dcterms:created xsi:type="dcterms:W3CDTF">2022-07-04T07:48:00Z</dcterms:created>
  <dcterms:modified xsi:type="dcterms:W3CDTF">2023-12-01T08:31:00Z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