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84C9E" w14:textId="77777777" w:rsidR="0013738B" w:rsidRPr="0013738B" w:rsidRDefault="0013738B" w:rsidP="0013738B">
      <w:pPr>
        <w:widowControl/>
        <w:jc w:val="left"/>
        <w:rPr>
          <w:rFonts w:ascii="宋体" w:hAnsi="宋体" w:cs="宋体"/>
          <w:kern w:val="0"/>
          <w:sz w:val="24"/>
          <w:szCs w:val="24"/>
        </w:rPr>
      </w:pPr>
      <w:r w:rsidRPr="0013738B">
        <w:rPr>
          <w:rFonts w:ascii="方正小标宋_GBK" w:eastAsia="方正小标宋_GBK" w:hAnsi="宋体" w:cs="宋体" w:hint="eastAsia"/>
          <w:color w:val="90268F"/>
          <w:kern w:val="0"/>
          <w:sz w:val="30"/>
          <w:szCs w:val="30"/>
        </w:rPr>
        <w:t xml:space="preserve">GTR联合正畸治疗在牙周组织缺损伴前牙移位中的应用及对 </w:t>
      </w:r>
    </w:p>
    <w:p w14:paraId="4B9029D5" w14:textId="77777777" w:rsidR="0013738B" w:rsidRPr="0013738B" w:rsidRDefault="0013738B" w:rsidP="0013738B">
      <w:pPr>
        <w:widowControl/>
        <w:jc w:val="left"/>
        <w:rPr>
          <w:rFonts w:ascii="宋体" w:hAnsi="宋体" w:cs="宋体"/>
          <w:kern w:val="0"/>
          <w:sz w:val="24"/>
          <w:szCs w:val="24"/>
        </w:rPr>
      </w:pPr>
      <w:r w:rsidRPr="0013738B">
        <w:rPr>
          <w:rFonts w:ascii="方正小标宋_GBK" w:eastAsia="方正小标宋_GBK" w:hAnsi="宋体" w:cs="宋体" w:hint="eastAsia"/>
          <w:color w:val="90268F"/>
          <w:kern w:val="0"/>
          <w:sz w:val="30"/>
          <w:szCs w:val="30"/>
        </w:rPr>
        <w:t xml:space="preserve">牙周功能的影响 </w:t>
      </w:r>
    </w:p>
    <w:p w14:paraId="74A1A173" w14:textId="77777777" w:rsidR="0013738B" w:rsidRPr="0013738B" w:rsidRDefault="0013738B" w:rsidP="0013738B">
      <w:pPr>
        <w:widowControl/>
        <w:jc w:val="left"/>
        <w:rPr>
          <w:rFonts w:ascii="宋体" w:hAnsi="宋体" w:cs="宋体"/>
          <w:kern w:val="0"/>
          <w:sz w:val="24"/>
          <w:szCs w:val="24"/>
        </w:rPr>
      </w:pPr>
      <w:r w:rsidRPr="0013738B">
        <w:rPr>
          <w:rFonts w:ascii="方正楷体_GBK" w:eastAsia="方正楷体_GBK" w:hAnsi="宋体" w:cs="宋体" w:hint="eastAsia"/>
          <w:color w:val="231F20"/>
          <w:kern w:val="0"/>
          <w:sz w:val="24"/>
          <w:szCs w:val="24"/>
        </w:rPr>
        <w:t xml:space="preserve">张 庆，陆明辉，孙钟昀 </w:t>
      </w:r>
    </w:p>
    <w:p w14:paraId="77BBA725" w14:textId="77777777" w:rsidR="0013738B" w:rsidRPr="0013738B" w:rsidRDefault="0013738B" w:rsidP="0013738B">
      <w:pPr>
        <w:widowControl/>
        <w:jc w:val="left"/>
        <w:rPr>
          <w:rFonts w:ascii="宋体" w:hAnsi="宋体" w:cs="宋体"/>
          <w:kern w:val="0"/>
          <w:sz w:val="24"/>
          <w:szCs w:val="24"/>
        </w:rPr>
      </w:pPr>
      <w:r w:rsidRPr="0013738B">
        <w:rPr>
          <w:rFonts w:ascii="方正楷体_GBK" w:eastAsia="方正楷体_GBK" w:hAnsi="宋体" w:cs="宋体" w:hint="eastAsia"/>
          <w:color w:val="231F20"/>
          <w:kern w:val="0"/>
          <w:sz w:val="18"/>
          <w:szCs w:val="18"/>
        </w:rPr>
        <w:t xml:space="preserve">（德驭医疗马鞍山总医院口腔科 安徽 马鞍山 243000） </w:t>
      </w:r>
    </w:p>
    <w:p w14:paraId="750825B5" w14:textId="77777777" w:rsidR="0013738B" w:rsidRPr="0013738B" w:rsidRDefault="0013738B" w:rsidP="0013738B">
      <w:pPr>
        <w:widowControl/>
        <w:jc w:val="left"/>
        <w:rPr>
          <w:rFonts w:ascii="宋体" w:hAnsi="宋体" w:cs="宋体"/>
          <w:kern w:val="0"/>
          <w:sz w:val="24"/>
          <w:szCs w:val="24"/>
        </w:rPr>
      </w:pPr>
      <w:r w:rsidRPr="0013738B">
        <w:rPr>
          <w:rFonts w:ascii="黑体" w:eastAsia="黑体" w:hAnsi="黑体" w:cs="宋体" w:hint="eastAsia"/>
          <w:color w:val="231F20"/>
          <w:kern w:val="0"/>
          <w:sz w:val="18"/>
          <w:szCs w:val="18"/>
        </w:rPr>
        <w:t>[摘要]目的：</w:t>
      </w:r>
      <w:r w:rsidRPr="0013738B">
        <w:rPr>
          <w:rFonts w:ascii="楷体_GB2312" w:eastAsia="楷体_GB2312" w:hAnsi="宋体" w:cs="宋体" w:hint="eastAsia"/>
          <w:color w:val="231F20"/>
          <w:kern w:val="0"/>
          <w:sz w:val="18"/>
          <w:szCs w:val="18"/>
        </w:rPr>
        <w:t xml:space="preserve">探讨引导性组织再生术（Guided tissue regeneration，GTR）联合正畸治疗在牙周组织缺损伴前牙移位中的 </w:t>
      </w:r>
    </w:p>
    <w:p w14:paraId="549B86EA" w14:textId="77777777" w:rsidR="0013738B" w:rsidRPr="0013738B" w:rsidRDefault="0013738B" w:rsidP="0013738B">
      <w:pPr>
        <w:widowControl/>
        <w:jc w:val="left"/>
        <w:rPr>
          <w:rFonts w:ascii="宋体" w:hAnsi="宋体" w:cs="宋体"/>
          <w:kern w:val="0"/>
          <w:sz w:val="24"/>
          <w:szCs w:val="24"/>
        </w:rPr>
      </w:pPr>
      <w:r w:rsidRPr="0013738B">
        <w:rPr>
          <w:rFonts w:ascii="楷体_GB2312" w:eastAsia="楷体_GB2312" w:hAnsi="宋体" w:cs="宋体" w:hint="eastAsia"/>
          <w:color w:val="231F20"/>
          <w:kern w:val="0"/>
          <w:sz w:val="18"/>
          <w:szCs w:val="18"/>
        </w:rPr>
        <w:t>应用及对牙周功能的影响。</w:t>
      </w:r>
      <w:r w:rsidRPr="0013738B">
        <w:rPr>
          <w:rFonts w:ascii="黑体" w:eastAsia="黑体" w:hAnsi="黑体" w:cs="宋体" w:hint="eastAsia"/>
          <w:color w:val="231F20"/>
          <w:kern w:val="0"/>
          <w:sz w:val="18"/>
          <w:szCs w:val="18"/>
        </w:rPr>
        <w:t>方法：</w:t>
      </w:r>
      <w:r w:rsidRPr="0013738B">
        <w:rPr>
          <w:rFonts w:ascii="楷体_GB2312" w:eastAsia="楷体_GB2312" w:hAnsi="宋体" w:cs="宋体" w:hint="eastAsia"/>
          <w:color w:val="231F20"/>
          <w:kern w:val="0"/>
          <w:sz w:val="18"/>
          <w:szCs w:val="18"/>
        </w:rPr>
        <w:t xml:space="preserve">选取笔者医院2018年1月-2021年9月收治的牙周组织缺损伴前牙移位患者92例，按照随机 </w:t>
      </w:r>
    </w:p>
    <w:p w14:paraId="6D93AA14" w14:textId="77777777" w:rsidR="0013738B" w:rsidRPr="0013738B" w:rsidRDefault="0013738B" w:rsidP="0013738B">
      <w:pPr>
        <w:widowControl/>
        <w:jc w:val="left"/>
        <w:rPr>
          <w:rFonts w:ascii="宋体" w:hAnsi="宋体" w:cs="宋体"/>
          <w:kern w:val="0"/>
          <w:sz w:val="24"/>
          <w:szCs w:val="24"/>
        </w:rPr>
      </w:pPr>
      <w:r w:rsidRPr="0013738B">
        <w:rPr>
          <w:rFonts w:ascii="楷体_GB2312" w:eastAsia="楷体_GB2312" w:hAnsi="宋体" w:cs="宋体" w:hint="eastAsia"/>
          <w:color w:val="231F20"/>
          <w:kern w:val="0"/>
          <w:sz w:val="18"/>
          <w:szCs w:val="18"/>
        </w:rPr>
        <w:t xml:space="preserve">数字表法分为研究组和对照组，每组46例，对照组给予GTR治疗，研究组在对照组的基础上联合正畸治疗。比较两组患者的 </w:t>
      </w:r>
    </w:p>
    <w:p w14:paraId="54F0B0C2" w14:textId="77777777" w:rsidR="0013738B" w:rsidRPr="0013738B" w:rsidRDefault="0013738B" w:rsidP="0013738B">
      <w:pPr>
        <w:widowControl/>
        <w:jc w:val="left"/>
        <w:rPr>
          <w:rFonts w:ascii="宋体" w:hAnsi="宋体" w:cs="宋体"/>
          <w:kern w:val="0"/>
          <w:sz w:val="24"/>
          <w:szCs w:val="24"/>
        </w:rPr>
      </w:pPr>
      <w:r w:rsidRPr="0013738B">
        <w:rPr>
          <w:rFonts w:ascii="楷体_GB2312" w:eastAsia="楷体_GB2312" w:hAnsi="宋体" w:cs="宋体" w:hint="eastAsia"/>
          <w:color w:val="231F20"/>
          <w:kern w:val="0"/>
          <w:sz w:val="18"/>
          <w:szCs w:val="18"/>
        </w:rPr>
        <w:t xml:space="preserve">出血指数（Bleeding index，BI）、探诊出血（Probing bleeding，BOP）、菌斑指数（Plaque index，PLI）、牙周探诊深 </w:t>
      </w:r>
    </w:p>
    <w:p w14:paraId="30B9E71B" w14:textId="77777777" w:rsidR="0013738B" w:rsidRPr="0013738B" w:rsidRDefault="0013738B" w:rsidP="0013738B">
      <w:pPr>
        <w:widowControl/>
        <w:jc w:val="left"/>
        <w:rPr>
          <w:rFonts w:ascii="宋体" w:hAnsi="宋体" w:cs="宋体"/>
          <w:kern w:val="0"/>
          <w:sz w:val="24"/>
          <w:szCs w:val="24"/>
        </w:rPr>
      </w:pPr>
      <w:r w:rsidRPr="0013738B">
        <w:rPr>
          <w:rFonts w:ascii="楷体_GB2312" w:eastAsia="楷体_GB2312" w:hAnsi="宋体" w:cs="宋体" w:hint="eastAsia"/>
          <w:color w:val="231F20"/>
          <w:kern w:val="0"/>
          <w:sz w:val="18"/>
          <w:szCs w:val="18"/>
        </w:rPr>
        <w:t xml:space="preserve">度（Probing depth，PD）、附着丧失水平（Attachment loss，AL）、咀嚼功能、美观满意度、不良反应发生率以及临床疗 </w:t>
      </w:r>
    </w:p>
    <w:p w14:paraId="66E3CE79" w14:textId="77777777" w:rsidR="0013738B" w:rsidRPr="0013738B" w:rsidRDefault="0013738B" w:rsidP="0013738B">
      <w:pPr>
        <w:widowControl/>
        <w:jc w:val="left"/>
        <w:rPr>
          <w:rFonts w:ascii="宋体" w:hAnsi="宋体" w:cs="宋体"/>
          <w:kern w:val="0"/>
          <w:sz w:val="24"/>
          <w:szCs w:val="24"/>
        </w:rPr>
      </w:pPr>
      <w:r w:rsidRPr="0013738B">
        <w:rPr>
          <w:rFonts w:ascii="楷体_GB2312" w:eastAsia="楷体_GB2312" w:hAnsi="宋体" w:cs="宋体" w:hint="eastAsia"/>
          <w:color w:val="231F20"/>
          <w:kern w:val="0"/>
          <w:sz w:val="18"/>
          <w:szCs w:val="18"/>
        </w:rPr>
        <w:t>效。</w:t>
      </w:r>
      <w:r w:rsidRPr="0013738B">
        <w:rPr>
          <w:rFonts w:ascii="黑体" w:eastAsia="黑体" w:hAnsi="黑体" w:cs="宋体" w:hint="eastAsia"/>
          <w:color w:val="231F20"/>
          <w:kern w:val="0"/>
          <w:sz w:val="18"/>
          <w:szCs w:val="18"/>
        </w:rPr>
        <w:t>结果：</w:t>
      </w:r>
      <w:r w:rsidRPr="0013738B">
        <w:rPr>
          <w:rFonts w:ascii="楷体_GB2312" w:eastAsia="楷体_GB2312" w:hAnsi="宋体" w:cs="宋体" w:hint="eastAsia"/>
          <w:color w:val="231F20"/>
          <w:kern w:val="0"/>
          <w:sz w:val="18"/>
          <w:szCs w:val="18"/>
        </w:rPr>
        <w:t xml:space="preserve">治疗前，两组患者BI、BOP、PLI、PD、AL比较，差异无统计学意义（P＞0.05）；治疗后，研究组患者BI、BOP、 </w:t>
      </w:r>
    </w:p>
    <w:p w14:paraId="4C74E5BA" w14:textId="77777777" w:rsidR="0013738B" w:rsidRPr="0013738B" w:rsidRDefault="0013738B" w:rsidP="0013738B">
      <w:pPr>
        <w:widowControl/>
        <w:jc w:val="left"/>
        <w:rPr>
          <w:rFonts w:ascii="宋体" w:hAnsi="宋体" w:cs="宋体"/>
          <w:kern w:val="0"/>
          <w:sz w:val="24"/>
          <w:szCs w:val="24"/>
        </w:rPr>
      </w:pPr>
      <w:r w:rsidRPr="0013738B">
        <w:rPr>
          <w:rFonts w:ascii="楷体_GB2312" w:eastAsia="楷体_GB2312" w:hAnsi="宋体" w:cs="宋体" w:hint="eastAsia"/>
          <w:color w:val="231F20"/>
          <w:kern w:val="0"/>
          <w:sz w:val="18"/>
          <w:szCs w:val="18"/>
        </w:rPr>
        <w:t xml:space="preserve">PLI、PD、AL及不良反应发生率均低于对照组，咀嚼效率、咬合能力、美观、口腔清洁、牙龈健康、整体满意度及治疗总有 </w:t>
      </w:r>
    </w:p>
    <w:p w14:paraId="3B9DEE62" w14:textId="77777777" w:rsidR="0013738B" w:rsidRPr="0013738B" w:rsidRDefault="0013738B" w:rsidP="0013738B">
      <w:pPr>
        <w:widowControl/>
        <w:jc w:val="left"/>
        <w:rPr>
          <w:rFonts w:ascii="宋体" w:hAnsi="宋体" w:cs="宋体"/>
          <w:kern w:val="0"/>
          <w:sz w:val="24"/>
          <w:szCs w:val="24"/>
        </w:rPr>
      </w:pPr>
      <w:r w:rsidRPr="0013738B">
        <w:rPr>
          <w:rFonts w:ascii="楷体_GB2312" w:eastAsia="楷体_GB2312" w:hAnsi="宋体" w:cs="宋体" w:hint="eastAsia"/>
          <w:color w:val="231F20"/>
          <w:kern w:val="0"/>
          <w:sz w:val="18"/>
          <w:szCs w:val="18"/>
        </w:rPr>
        <w:t>效率均高于对照组（P＜0.05）。</w:t>
      </w:r>
      <w:r w:rsidRPr="0013738B">
        <w:rPr>
          <w:rFonts w:ascii="黑体" w:eastAsia="黑体" w:hAnsi="黑体" w:cs="宋体" w:hint="eastAsia"/>
          <w:color w:val="231F20"/>
          <w:kern w:val="0"/>
          <w:sz w:val="18"/>
          <w:szCs w:val="18"/>
        </w:rPr>
        <w:t>结论：</w:t>
      </w:r>
      <w:r w:rsidRPr="0013738B">
        <w:rPr>
          <w:rFonts w:ascii="楷体_GB2312" w:eastAsia="楷体_GB2312" w:hAnsi="宋体" w:cs="宋体" w:hint="eastAsia"/>
          <w:color w:val="231F20"/>
          <w:kern w:val="0"/>
          <w:sz w:val="18"/>
          <w:szCs w:val="18"/>
        </w:rPr>
        <w:t xml:space="preserve">GTR联合口腔正畸治疗牙周组织缺损伴前牙移位患者能够改善牙周功能和咀嚼功能， </w:t>
      </w:r>
    </w:p>
    <w:p w14:paraId="34CEE8F7" w14:textId="77777777" w:rsidR="0013738B" w:rsidRPr="0013738B" w:rsidRDefault="0013738B" w:rsidP="0013738B">
      <w:pPr>
        <w:widowControl/>
        <w:jc w:val="left"/>
        <w:rPr>
          <w:rFonts w:ascii="宋体" w:hAnsi="宋体" w:cs="宋体"/>
          <w:kern w:val="0"/>
          <w:sz w:val="24"/>
          <w:szCs w:val="24"/>
        </w:rPr>
      </w:pPr>
      <w:r w:rsidRPr="0013738B">
        <w:rPr>
          <w:rFonts w:ascii="楷体_GB2312" w:eastAsia="楷体_GB2312" w:hAnsi="宋体" w:cs="宋体" w:hint="eastAsia"/>
          <w:color w:val="231F20"/>
          <w:kern w:val="0"/>
          <w:sz w:val="18"/>
          <w:szCs w:val="18"/>
        </w:rPr>
        <w:t xml:space="preserve">提高患者美观度，降低不良反应发生率，临床疗效显著。 </w:t>
      </w:r>
    </w:p>
    <w:p w14:paraId="00CC0A86" w14:textId="77777777" w:rsidR="0013738B" w:rsidRPr="0013738B" w:rsidRDefault="0013738B" w:rsidP="0013738B">
      <w:pPr>
        <w:widowControl/>
        <w:jc w:val="left"/>
        <w:rPr>
          <w:rFonts w:ascii="宋体" w:hAnsi="宋体" w:cs="宋体"/>
          <w:kern w:val="0"/>
          <w:sz w:val="24"/>
          <w:szCs w:val="24"/>
        </w:rPr>
      </w:pPr>
      <w:r w:rsidRPr="0013738B">
        <w:rPr>
          <w:rFonts w:ascii="黑体" w:eastAsia="黑体" w:hAnsi="黑体" w:cs="宋体" w:hint="eastAsia"/>
          <w:color w:val="231F20"/>
          <w:kern w:val="0"/>
          <w:sz w:val="18"/>
          <w:szCs w:val="18"/>
        </w:rPr>
        <w:t>[关键词]</w:t>
      </w:r>
      <w:r w:rsidRPr="0013738B">
        <w:rPr>
          <w:rFonts w:ascii="楷体_GB2312" w:eastAsia="楷体_GB2312" w:hAnsi="宋体" w:cs="宋体" w:hint="eastAsia"/>
          <w:color w:val="231F20"/>
          <w:kern w:val="0"/>
          <w:sz w:val="18"/>
          <w:szCs w:val="18"/>
        </w:rPr>
        <w:t xml:space="preserve">牙周组织缺损；前牙移位；引导性组织再生术；正畸治疗；牙周功能 </w:t>
      </w:r>
    </w:p>
    <w:p w14:paraId="2EBC7266" w14:textId="77777777" w:rsidR="0013738B" w:rsidRPr="0013738B" w:rsidRDefault="0013738B" w:rsidP="0013738B">
      <w:pPr>
        <w:widowControl/>
        <w:jc w:val="left"/>
        <w:rPr>
          <w:rFonts w:ascii="宋体" w:hAnsi="宋体" w:cs="宋体"/>
          <w:kern w:val="0"/>
          <w:sz w:val="24"/>
          <w:szCs w:val="24"/>
        </w:rPr>
      </w:pPr>
      <w:r w:rsidRPr="0013738B">
        <w:rPr>
          <w:rFonts w:ascii="黑体" w:eastAsia="黑体" w:hAnsi="黑体" w:cs="宋体" w:hint="eastAsia"/>
          <w:color w:val="231F20"/>
          <w:kern w:val="0"/>
          <w:sz w:val="18"/>
          <w:szCs w:val="18"/>
        </w:rPr>
        <w:t>[中图分类号]</w:t>
      </w:r>
      <w:r w:rsidRPr="0013738B">
        <w:rPr>
          <w:rFonts w:ascii="楷体_GB2312" w:eastAsia="楷体_GB2312" w:hAnsi="宋体" w:cs="宋体" w:hint="eastAsia"/>
          <w:color w:val="231F20"/>
          <w:kern w:val="0"/>
          <w:sz w:val="18"/>
          <w:szCs w:val="18"/>
        </w:rPr>
        <w:t xml:space="preserve">R781.4 </w:t>
      </w:r>
      <w:r w:rsidRPr="0013738B">
        <w:rPr>
          <w:rFonts w:ascii="黑体" w:eastAsia="黑体" w:hAnsi="黑体" w:cs="宋体" w:hint="eastAsia"/>
          <w:color w:val="231F20"/>
          <w:kern w:val="0"/>
          <w:sz w:val="18"/>
          <w:szCs w:val="18"/>
        </w:rPr>
        <w:t>[文献标志码]</w:t>
      </w:r>
      <w:r w:rsidRPr="0013738B">
        <w:rPr>
          <w:rFonts w:ascii="楷体_GB2312" w:eastAsia="楷体_GB2312" w:hAnsi="宋体" w:cs="宋体" w:hint="eastAsia"/>
          <w:color w:val="231F20"/>
          <w:kern w:val="0"/>
          <w:sz w:val="18"/>
          <w:szCs w:val="18"/>
        </w:rPr>
        <w:t xml:space="preserve">A </w:t>
      </w:r>
      <w:r w:rsidRPr="0013738B">
        <w:rPr>
          <w:rFonts w:ascii="黑体" w:eastAsia="黑体" w:hAnsi="黑体" w:cs="宋体" w:hint="eastAsia"/>
          <w:color w:val="231F20"/>
          <w:kern w:val="0"/>
          <w:sz w:val="18"/>
          <w:szCs w:val="18"/>
        </w:rPr>
        <w:t>[文章编号]</w:t>
      </w:r>
      <w:r w:rsidRPr="0013738B">
        <w:rPr>
          <w:rFonts w:ascii="楷体_GB2312" w:eastAsia="楷体_GB2312" w:hAnsi="宋体" w:cs="宋体" w:hint="eastAsia"/>
          <w:color w:val="231F20"/>
          <w:kern w:val="0"/>
          <w:sz w:val="18"/>
          <w:szCs w:val="18"/>
        </w:rPr>
        <w:t xml:space="preserve">1008-6455(2023)11-0132-04 </w:t>
      </w:r>
    </w:p>
    <w:p w14:paraId="0E7D83FB" w14:textId="77777777" w:rsidR="0013738B" w:rsidRPr="0013738B" w:rsidRDefault="0013738B" w:rsidP="0013738B">
      <w:pPr>
        <w:widowControl/>
        <w:jc w:val="left"/>
        <w:rPr>
          <w:rFonts w:ascii="宋体" w:hAnsi="宋体" w:cs="宋体"/>
          <w:kern w:val="0"/>
          <w:sz w:val="24"/>
          <w:szCs w:val="24"/>
        </w:rPr>
      </w:pPr>
      <w:r w:rsidRPr="0013738B">
        <w:rPr>
          <w:rFonts w:ascii="ITC Avant Garde Gothic Demi" w:hAnsi="ITC Avant Garde Gothic Demi" w:cs="宋体"/>
          <w:b/>
          <w:bCs/>
          <w:color w:val="90268F"/>
          <w:kern w:val="0"/>
          <w:sz w:val="24"/>
          <w:szCs w:val="24"/>
        </w:rPr>
        <w:t xml:space="preserve">Application of GTR Combined with Orthodontic Treatment in Periodontal Tissue </w:t>
      </w:r>
    </w:p>
    <w:p w14:paraId="003CF9C2" w14:textId="77777777" w:rsidR="0013738B" w:rsidRPr="0013738B" w:rsidRDefault="0013738B" w:rsidP="0013738B">
      <w:pPr>
        <w:widowControl/>
        <w:jc w:val="left"/>
        <w:rPr>
          <w:rFonts w:ascii="宋体" w:hAnsi="宋体" w:cs="宋体"/>
          <w:kern w:val="0"/>
          <w:sz w:val="24"/>
          <w:szCs w:val="24"/>
        </w:rPr>
      </w:pPr>
      <w:r w:rsidRPr="0013738B">
        <w:rPr>
          <w:rFonts w:ascii="ITC Avant Garde Gothic Demi" w:hAnsi="ITC Avant Garde Gothic Demi" w:cs="宋体"/>
          <w:b/>
          <w:bCs/>
          <w:color w:val="90268F"/>
          <w:kern w:val="0"/>
          <w:sz w:val="24"/>
          <w:szCs w:val="24"/>
        </w:rPr>
        <w:t xml:space="preserve">Defect with Anterior Tooth Displacement and Its Effect on Periodontal Function </w:t>
      </w:r>
    </w:p>
    <w:p w14:paraId="3E4640D6" w14:textId="77777777" w:rsidR="0013738B" w:rsidRPr="0013738B" w:rsidRDefault="0013738B" w:rsidP="0013738B">
      <w:pPr>
        <w:widowControl/>
        <w:jc w:val="left"/>
        <w:rPr>
          <w:rFonts w:ascii="宋体" w:hAnsi="宋体" w:cs="宋体"/>
          <w:kern w:val="0"/>
          <w:sz w:val="24"/>
          <w:szCs w:val="24"/>
        </w:rPr>
      </w:pPr>
      <w:r w:rsidRPr="0013738B">
        <w:rPr>
          <w:rFonts w:ascii="方正兰亭中黑_GBK" w:eastAsia="方正兰亭中黑_GBK" w:hAnsi="宋体" w:cs="宋体" w:hint="eastAsia"/>
          <w:color w:val="231F20"/>
          <w:kern w:val="0"/>
          <w:sz w:val="18"/>
          <w:szCs w:val="18"/>
        </w:rPr>
        <w:t xml:space="preserve">ZHANG Qing,LU Minghui,SUN Zhongyun </w:t>
      </w:r>
    </w:p>
    <w:p w14:paraId="28321A2A"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(Department of Stomatology,Ma'anshan General Hospital,Deyu Medical,Ma'anshan 243000,Anhui,China) </w:t>
      </w:r>
    </w:p>
    <w:p w14:paraId="25228138" w14:textId="77777777" w:rsidR="0013738B" w:rsidRPr="0013738B" w:rsidRDefault="0013738B" w:rsidP="0013738B">
      <w:pPr>
        <w:widowControl/>
        <w:jc w:val="left"/>
        <w:rPr>
          <w:rFonts w:ascii="宋体" w:hAnsi="宋体" w:cs="宋体"/>
          <w:kern w:val="0"/>
          <w:sz w:val="24"/>
          <w:szCs w:val="24"/>
        </w:rPr>
      </w:pPr>
      <w:r w:rsidRPr="0013738B">
        <w:rPr>
          <w:rFonts w:ascii="Didot-HTF-B06-Bold" w:hAnsi="Didot-HTF-B06-Bold" w:cs="宋体"/>
          <w:b/>
          <w:bCs/>
          <w:color w:val="231F20"/>
          <w:kern w:val="0"/>
          <w:sz w:val="19"/>
          <w:szCs w:val="19"/>
        </w:rPr>
        <w:t>Abstract: Objective</w:t>
      </w:r>
      <w:r w:rsidRPr="0013738B">
        <w:rPr>
          <w:rFonts w:ascii="Times New Roman" w:hAnsi="Times New Roman"/>
          <w:color w:val="231F20"/>
          <w:kern w:val="0"/>
          <w:sz w:val="19"/>
          <w:szCs w:val="19"/>
        </w:rPr>
        <w:t xml:space="preserve"> To investigate the application of guided tissue regeneration (GTR) combined with orthodontic treatment </w:t>
      </w:r>
    </w:p>
    <w:p w14:paraId="37C41185"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in periodontal tissue defect with anterior tooth displacement and its eff ect on periodontal function. </w:t>
      </w:r>
      <w:r w:rsidRPr="0013738B">
        <w:rPr>
          <w:rFonts w:ascii="Didot-HTF-B06-Bold" w:hAnsi="Didot-HTF-B06-Bold" w:cs="宋体"/>
          <w:b/>
          <w:bCs/>
          <w:color w:val="231F20"/>
          <w:kern w:val="0"/>
          <w:sz w:val="19"/>
          <w:szCs w:val="19"/>
        </w:rPr>
        <w:t xml:space="preserve">Methods </w:t>
      </w:r>
      <w:r w:rsidRPr="0013738B">
        <w:rPr>
          <w:rFonts w:ascii="Times New Roman" w:hAnsi="Times New Roman"/>
          <w:color w:val="231F20"/>
          <w:kern w:val="0"/>
          <w:sz w:val="19"/>
          <w:szCs w:val="19"/>
        </w:rPr>
        <w:t xml:space="preserve">92 patients with </w:t>
      </w:r>
    </w:p>
    <w:p w14:paraId="77E0DC6D"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periodontal tissue defect and anterior tooth displacement treated in author's hospital from January 2018 to September 2021 </w:t>
      </w:r>
    </w:p>
    <w:p w14:paraId="08753BE2"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were selected. Patients were randomly divided into study group and control group, with 46 cases in each group. The control </w:t>
      </w:r>
    </w:p>
    <w:p w14:paraId="1487115D"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group was treated with GTR, and the study group was treated with orthodontic treatment on the basis of the control group. </w:t>
      </w:r>
    </w:p>
    <w:p w14:paraId="1CB1E279"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The bleeding index (BI), probing bleeding (BOP), plaque index (PLI), periodontal probing depth (PD), attachment loss level </w:t>
      </w:r>
    </w:p>
    <w:p w14:paraId="6F49EC95"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lastRenderedPageBreak/>
        <w:t xml:space="preserve">(AL), masticatory function, aesthetic satisfaction, incidence of adverse reactions and clinical effi cacy were compared between </w:t>
      </w:r>
    </w:p>
    <w:p w14:paraId="02060BEA"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the two groups. </w:t>
      </w:r>
      <w:r w:rsidRPr="0013738B">
        <w:rPr>
          <w:rFonts w:ascii="Didot-HTF-B06-Bold" w:hAnsi="Didot-HTF-B06-Bold" w:cs="宋体"/>
          <w:b/>
          <w:bCs/>
          <w:color w:val="231F20"/>
          <w:kern w:val="0"/>
          <w:sz w:val="19"/>
          <w:szCs w:val="19"/>
        </w:rPr>
        <w:t>Results</w:t>
      </w:r>
      <w:r w:rsidRPr="0013738B">
        <w:rPr>
          <w:rFonts w:ascii="Times New Roman" w:hAnsi="Times New Roman"/>
          <w:color w:val="231F20"/>
          <w:kern w:val="0"/>
          <w:sz w:val="19"/>
          <w:szCs w:val="19"/>
        </w:rPr>
        <w:t xml:space="preserve"> Before treatment, there was no signifi cant diff erence in BI, BOP, PLI, PD and Al between the two </w:t>
      </w:r>
    </w:p>
    <w:p w14:paraId="3D03C62E"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groups (P</w:t>
      </w:r>
      <w:r w:rsidRPr="0013738B">
        <w:rPr>
          <w:rFonts w:ascii="宋体" w:hAnsi="宋体" w:cs="宋体" w:hint="eastAsia"/>
          <w:color w:val="231F20"/>
          <w:kern w:val="0"/>
          <w:sz w:val="19"/>
          <w:szCs w:val="19"/>
        </w:rPr>
        <w:t>＞</w:t>
      </w:r>
      <w:r w:rsidRPr="0013738B">
        <w:rPr>
          <w:rFonts w:ascii="Times New Roman" w:hAnsi="Times New Roman"/>
          <w:color w:val="231F20"/>
          <w:kern w:val="0"/>
          <w:sz w:val="19"/>
          <w:szCs w:val="19"/>
        </w:rPr>
        <w:t xml:space="preserve">0.05). After treatment, BI, BOP, PLI, PD, AL and adverse reactions in the study group were lower than those in </w:t>
      </w:r>
    </w:p>
    <w:p w14:paraId="54D6B910"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the control group, and the masticatory effi ciency, occlusal ability, aesthetics, oral hygiene, gum health, overall satisfaction, and </w:t>
      </w:r>
    </w:p>
    <w:p w14:paraId="4C86904D"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total eff ective rate of treatment were all higher than those in the control group (P</w:t>
      </w:r>
      <w:r w:rsidRPr="0013738B">
        <w:rPr>
          <w:rFonts w:ascii="宋体" w:hAnsi="宋体" w:cs="宋体" w:hint="eastAsia"/>
          <w:color w:val="231F20"/>
          <w:kern w:val="0"/>
          <w:sz w:val="19"/>
          <w:szCs w:val="19"/>
        </w:rPr>
        <w:t>＜</w:t>
      </w:r>
      <w:r w:rsidRPr="0013738B">
        <w:rPr>
          <w:rFonts w:ascii="Times New Roman" w:hAnsi="Times New Roman"/>
          <w:color w:val="231F20"/>
          <w:kern w:val="0"/>
          <w:sz w:val="19"/>
          <w:szCs w:val="19"/>
        </w:rPr>
        <w:t xml:space="preserve">0.05). </w:t>
      </w:r>
      <w:r w:rsidRPr="0013738B">
        <w:rPr>
          <w:rFonts w:ascii="Didot-HTF-B06-Bold" w:hAnsi="Didot-HTF-B06-Bold" w:cs="宋体"/>
          <w:b/>
          <w:bCs/>
          <w:color w:val="231F20"/>
          <w:kern w:val="0"/>
          <w:sz w:val="19"/>
          <w:szCs w:val="19"/>
        </w:rPr>
        <w:t>Conclusion</w:t>
      </w:r>
      <w:r w:rsidRPr="0013738B">
        <w:rPr>
          <w:rFonts w:ascii="Times New Roman" w:hAnsi="Times New Roman"/>
          <w:color w:val="231F20"/>
          <w:kern w:val="0"/>
          <w:sz w:val="19"/>
          <w:szCs w:val="19"/>
        </w:rPr>
        <w:t xml:space="preserve"> GTR combined with </w:t>
      </w:r>
    </w:p>
    <w:p w14:paraId="615AAC9E"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orthodontics in the treatment of patients with periodontal tissue defect and anterior tooth displacement can improve periodontal </w:t>
      </w:r>
    </w:p>
    <w:p w14:paraId="6E9D10A6"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function and masticatory function, improve patient aesthetics, reduce the incidence of adverse reactions, and the clinical eff ect </w:t>
      </w:r>
    </w:p>
    <w:p w14:paraId="1A9495AF" w14:textId="77777777" w:rsidR="0013738B" w:rsidRPr="0013738B" w:rsidRDefault="0013738B" w:rsidP="0013738B">
      <w:pPr>
        <w:widowControl/>
        <w:jc w:val="left"/>
        <w:rPr>
          <w:rFonts w:ascii="宋体" w:hAnsi="宋体" w:cs="宋体"/>
          <w:kern w:val="0"/>
          <w:sz w:val="24"/>
          <w:szCs w:val="24"/>
        </w:rPr>
      </w:pPr>
      <w:r w:rsidRPr="0013738B">
        <w:rPr>
          <w:rFonts w:ascii="Times New Roman" w:hAnsi="Times New Roman"/>
          <w:color w:val="231F20"/>
          <w:kern w:val="0"/>
          <w:sz w:val="19"/>
          <w:szCs w:val="19"/>
        </w:rPr>
        <w:t xml:space="preserve">is signifi cant. </w:t>
      </w:r>
    </w:p>
    <w:p w14:paraId="513F2B45" w14:textId="77777777" w:rsidR="0013738B" w:rsidRPr="0013738B" w:rsidRDefault="0013738B" w:rsidP="0013738B">
      <w:pPr>
        <w:widowControl/>
        <w:jc w:val="left"/>
        <w:rPr>
          <w:rFonts w:ascii="宋体" w:hAnsi="宋体" w:cs="宋体"/>
          <w:kern w:val="0"/>
          <w:sz w:val="24"/>
          <w:szCs w:val="24"/>
        </w:rPr>
      </w:pPr>
      <w:r w:rsidRPr="0013738B">
        <w:rPr>
          <w:rFonts w:ascii="Didot-HTF-B06-Bold" w:hAnsi="Didot-HTF-B06-Bold" w:cs="宋体"/>
          <w:b/>
          <w:bCs/>
          <w:color w:val="231F20"/>
          <w:kern w:val="0"/>
          <w:sz w:val="19"/>
          <w:szCs w:val="19"/>
        </w:rPr>
        <w:t>Key words:</w:t>
      </w:r>
      <w:r w:rsidRPr="0013738B">
        <w:rPr>
          <w:rFonts w:ascii="Times New Roman" w:hAnsi="Times New Roman"/>
          <w:color w:val="231F20"/>
          <w:kern w:val="0"/>
          <w:sz w:val="19"/>
          <w:szCs w:val="19"/>
        </w:rPr>
        <w:t xml:space="preserve"> periodontal tissue defect; anterior tooth displacement; guided tissue regeneration; orthodontic treatment; periodontal </w:t>
      </w:r>
    </w:p>
    <w:p w14:paraId="261CF90C" w14:textId="7F6BE7F4" w:rsidR="003B019F" w:rsidRPr="0013738B" w:rsidRDefault="0013738B" w:rsidP="0013738B">
      <w:r w:rsidRPr="0013738B">
        <w:rPr>
          <w:rFonts w:ascii="Times New Roman" w:hAnsi="Times New Roman"/>
          <w:color w:val="231F20"/>
          <w:kern w:val="0"/>
          <w:sz w:val="19"/>
          <w:szCs w:val="19"/>
        </w:rPr>
        <w:t>function</w:t>
      </w:r>
    </w:p>
    <w:sectPr w:rsidR="003B019F" w:rsidRPr="0013738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11E13" w14:textId="77777777" w:rsidR="0048610F" w:rsidRDefault="0048610F" w:rsidP="003724AB">
      <w:r>
        <w:separator/>
      </w:r>
    </w:p>
  </w:endnote>
  <w:endnote w:type="continuationSeparator" w:id="0">
    <w:p w14:paraId="780BD593" w14:textId="77777777" w:rsidR="0048610F" w:rsidRDefault="0048610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02F2C022-0A5F-432C-AC40-4C25AC99A2BE}"/>
  </w:font>
  <w:font w:name="方正楷体_GBK">
    <w:panose1 w:val="03000509000000000000"/>
    <w:charset w:val="86"/>
    <w:family w:val="script"/>
    <w:pitch w:val="fixed"/>
    <w:sig w:usb0="00000001" w:usb1="080E0000" w:usb2="00000010" w:usb3="00000000" w:csb0="00040000" w:csb1="00000000"/>
    <w:embedRegular r:id="rId2" w:subsetted="1" w:fontKey="{F9DE9EC4-09E2-4E65-B172-CD235C744844}"/>
  </w:font>
  <w:font w:name="黑体">
    <w:altName w:val="SimHei"/>
    <w:panose1 w:val="02010609060101010101"/>
    <w:charset w:val="86"/>
    <w:family w:val="modern"/>
    <w:pitch w:val="fixed"/>
    <w:sig w:usb0="800002BF" w:usb1="38CF7CFA" w:usb2="00000016" w:usb3="00000000" w:csb0="00040001" w:csb1="00000000"/>
    <w:embedRegular r:id="rId3" w:subsetted="1" w:fontKey="{2B67FADE-4BD6-4D33-998D-7AB4BB2EE93B}"/>
  </w:font>
  <w:font w:name="楷体_GB2312">
    <w:panose1 w:val="02010609030101010101"/>
    <w:charset w:val="86"/>
    <w:family w:val="modern"/>
    <w:pitch w:val="fixed"/>
    <w:sig w:usb0="00000001" w:usb1="080E0000" w:usb2="00000010" w:usb3="00000000" w:csb0="00040000" w:csb1="00000000"/>
    <w:embedRegular r:id="rId4" w:subsetted="1" w:fontKey="{90682B98-3F94-451B-85D1-4DFBD38F62FE}"/>
  </w:font>
  <w:font w:name="ITC Avant Garde Gothic 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4D20F" w14:textId="77777777" w:rsidR="0048610F" w:rsidRDefault="0048610F" w:rsidP="003724AB">
      <w:r>
        <w:separator/>
      </w:r>
    </w:p>
  </w:footnote>
  <w:footnote w:type="continuationSeparator" w:id="0">
    <w:p w14:paraId="05F99E44" w14:textId="77777777" w:rsidR="0048610F" w:rsidRDefault="0048610F"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8610F"/>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1D8B"/>
    <w:rsid w:val="00C73275"/>
    <w:rsid w:val="00C73552"/>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14322</TotalTime>
  <Pages>2</Pages>
  <Words>421</Words>
  <Characters>2404</Characters>
  <Application>Microsoft Office Word</Application>
  <DocSecurity>0</DocSecurity>
  <Lines>20</Lines>
  <Paragraphs>5</Paragraphs>
  <ScaleCrop>false</ScaleCrop>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2048</cp:revision>
  <dcterms:created xsi:type="dcterms:W3CDTF">2022-07-04T07:48:00Z</dcterms:created>
  <dcterms:modified xsi:type="dcterms:W3CDTF">2023-12-06T02:45:00Z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