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178A6" w14:textId="77777777" w:rsidR="00495448" w:rsidRDefault="00495448" w:rsidP="00495448">
      <w:proofErr w:type="gramStart"/>
      <w:r>
        <w:t>隐适美</w:t>
      </w:r>
      <w:proofErr w:type="gramEnd"/>
      <w:r>
        <w:t>矫治器与</w:t>
      </w:r>
      <w:r>
        <w:t>Damon Q</w:t>
      </w:r>
      <w:r>
        <w:t>自锁托槽非拔牙矫治牙列拥挤的临床疗效比较</w:t>
      </w:r>
      <w:r>
        <w:t xml:space="preserve"> </w:t>
      </w:r>
    </w:p>
    <w:p w14:paraId="1870DD7D" w14:textId="77777777" w:rsidR="00495448" w:rsidRDefault="00495448" w:rsidP="00495448"/>
    <w:p w14:paraId="279BDD88" w14:textId="42BE452E" w:rsidR="00495448" w:rsidRDefault="00495448" w:rsidP="00495448">
      <w:proofErr w:type="gramStart"/>
      <w:r>
        <w:t>邹</w:t>
      </w:r>
      <w:proofErr w:type="gramEnd"/>
      <w:r>
        <w:t xml:space="preserve"> </w:t>
      </w:r>
      <w:r>
        <w:t>慧，彭友俭</w:t>
      </w:r>
      <w:r>
        <w:t xml:space="preserve"> </w:t>
      </w:r>
    </w:p>
    <w:p w14:paraId="70C81556" w14:textId="77777777" w:rsidR="00495448" w:rsidRDefault="00495448" w:rsidP="00495448"/>
    <w:p w14:paraId="13C7E3DE" w14:textId="218E726A" w:rsidR="00495448" w:rsidRDefault="00495448" w:rsidP="00495448">
      <w:r>
        <w:t>（武汉大学人民医院口腔科</w:t>
      </w:r>
      <w:r>
        <w:t xml:space="preserve"> </w:t>
      </w:r>
      <w:r>
        <w:t>湖北</w:t>
      </w:r>
      <w:r>
        <w:t xml:space="preserve"> </w:t>
      </w:r>
      <w:r>
        <w:t>武汉</w:t>
      </w:r>
      <w:r>
        <w:t xml:space="preserve"> 430000</w:t>
      </w:r>
      <w:r>
        <w:t>）</w:t>
      </w:r>
      <w:r>
        <w:t xml:space="preserve"> </w:t>
      </w:r>
    </w:p>
    <w:p w14:paraId="46592212" w14:textId="77777777" w:rsidR="00495448" w:rsidRDefault="00495448" w:rsidP="00495448"/>
    <w:p w14:paraId="09FE8B3F" w14:textId="77777777" w:rsidR="00495448" w:rsidRDefault="00495448" w:rsidP="00495448">
      <w:r>
        <w:t>[</w:t>
      </w:r>
      <w:r>
        <w:t>摘要</w:t>
      </w:r>
      <w:r>
        <w:t>]</w:t>
      </w:r>
      <w:r>
        <w:t>目的：探讨</w:t>
      </w:r>
      <w:proofErr w:type="gramStart"/>
      <w:r>
        <w:t>隐适美</w:t>
      </w:r>
      <w:proofErr w:type="gramEnd"/>
      <w:r>
        <w:t>矫治器与</w:t>
      </w:r>
      <w:r>
        <w:t>Damon Q</w:t>
      </w:r>
      <w:r>
        <w:t>自锁托槽非拔牙矫治牙列拥挤患者的临床疗效。方法：选取</w:t>
      </w:r>
      <w:r>
        <w:t>2019</w:t>
      </w:r>
      <w:r>
        <w:t>年</w:t>
      </w:r>
      <w:r>
        <w:t>1</w:t>
      </w:r>
      <w:r>
        <w:t>月</w:t>
      </w:r>
      <w:r>
        <w:t>-2022</w:t>
      </w:r>
      <w:r>
        <w:t>年</w:t>
      </w:r>
      <w:r>
        <w:t xml:space="preserve">1 </w:t>
      </w:r>
      <w:r>
        <w:t>月在笔者医院完成非拔牙矫正治疗的</w:t>
      </w:r>
      <w:r>
        <w:t>100</w:t>
      </w:r>
      <w:proofErr w:type="gramStart"/>
      <w:r>
        <w:t>例牙列</w:t>
      </w:r>
      <w:proofErr w:type="gramEnd"/>
      <w:r>
        <w:t>拥挤患者为研究对象，根据不同矫治方式分为</w:t>
      </w:r>
      <w:proofErr w:type="gramStart"/>
      <w:r>
        <w:t>隐适美组</w:t>
      </w:r>
      <w:proofErr w:type="gramEnd"/>
      <w:r>
        <w:t>（使用</w:t>
      </w:r>
      <w:proofErr w:type="gramStart"/>
      <w:r>
        <w:t>隐适美矫治</w:t>
      </w:r>
      <w:r>
        <w:t xml:space="preserve"> </w:t>
      </w:r>
      <w:r>
        <w:t>器行</w:t>
      </w:r>
      <w:proofErr w:type="gramEnd"/>
      <w:r>
        <w:t>正畸治疗）</w:t>
      </w:r>
      <w:r>
        <w:t>52</w:t>
      </w:r>
      <w:r>
        <w:t>例和</w:t>
      </w:r>
      <w:r>
        <w:t>Damon Q</w:t>
      </w:r>
      <w:r>
        <w:t>组（使用</w:t>
      </w:r>
      <w:r>
        <w:t>Damon Q</w:t>
      </w:r>
      <w:r>
        <w:t>自锁托槽矫治器行正畸治疗）</w:t>
      </w:r>
      <w:r>
        <w:t>48</w:t>
      </w:r>
      <w:r>
        <w:t>例。对比分析两组患者牙弓宽度指标（尖</w:t>
      </w:r>
      <w:r>
        <w:t xml:space="preserve"> </w:t>
      </w:r>
      <w:r>
        <w:t>牙间宽度、第一前磨牙间宽度、第一磨牙间宽度），牙周健康指标</w:t>
      </w:r>
      <w:r>
        <w:t>[</w:t>
      </w:r>
      <w:r>
        <w:t>牙龈指数（</w:t>
      </w:r>
      <w:r>
        <w:t xml:space="preserve">Gingival </w:t>
      </w:r>
      <w:proofErr w:type="spellStart"/>
      <w:r>
        <w:t>index,GI</w:t>
      </w:r>
      <w:proofErr w:type="spellEnd"/>
      <w:r>
        <w:t>）、菌斑指数（</w:t>
      </w:r>
      <w:r>
        <w:t xml:space="preserve">Plaque </w:t>
      </w:r>
      <w:proofErr w:type="spellStart"/>
      <w:r>
        <w:t>index,PLI</w:t>
      </w:r>
      <w:proofErr w:type="spellEnd"/>
      <w:r>
        <w:t>）、龈沟出血指数（</w:t>
      </w:r>
      <w:r>
        <w:t xml:space="preserve">Sulcus bleeding </w:t>
      </w:r>
      <w:proofErr w:type="spellStart"/>
      <w:r>
        <w:t>index,SBI</w:t>
      </w:r>
      <w:proofErr w:type="spellEnd"/>
      <w:r>
        <w:t>）</w:t>
      </w:r>
      <w:r>
        <w:t>]</w:t>
      </w:r>
      <w:r>
        <w:t>，龈沟液炎症指标</w:t>
      </w:r>
      <w:r>
        <w:t>[</w:t>
      </w:r>
      <w:r>
        <w:t>白介素</w:t>
      </w:r>
      <w:r>
        <w:t>-1β</w:t>
      </w:r>
      <w:r>
        <w:t>（</w:t>
      </w:r>
      <w:r>
        <w:t>Interleukin-1β,IL</w:t>
      </w:r>
      <w:r>
        <w:t>1β</w:t>
      </w:r>
      <w:r>
        <w:t>）、肿瘤坏死因子</w:t>
      </w:r>
      <w:r>
        <w:t>-α</w:t>
      </w:r>
      <w:r>
        <w:t>（</w:t>
      </w:r>
      <w:r>
        <w:t>Tumor necrosis factor-α,TNF-α</w:t>
      </w:r>
      <w:r>
        <w:t>）</w:t>
      </w:r>
      <w:r>
        <w:t>]</w:t>
      </w:r>
      <w:r>
        <w:t>，以及口腔相关生活质量评分。结果：治疗结束后，</w:t>
      </w:r>
      <w:r>
        <w:t xml:space="preserve"> </w:t>
      </w:r>
      <w:r>
        <w:t>两组患者牙弓宽度均显著增加（</w:t>
      </w:r>
      <w:r>
        <w:t>P</w:t>
      </w:r>
      <w:r>
        <w:t>＜</w:t>
      </w:r>
      <w:r>
        <w:t>0.05</w:t>
      </w:r>
      <w:r>
        <w:t>），但两组比较差异无统计学意义（</w:t>
      </w:r>
      <w:r>
        <w:t>P</w:t>
      </w:r>
      <w:r>
        <w:t>＞</w:t>
      </w:r>
      <w:r>
        <w:t>0.05</w:t>
      </w:r>
      <w:r>
        <w:t>）。治疗后，两组患者</w:t>
      </w:r>
      <w:r>
        <w:t>GI</w:t>
      </w:r>
      <w:r>
        <w:t>、</w:t>
      </w:r>
      <w:r>
        <w:t>PLI</w:t>
      </w:r>
      <w:r>
        <w:t>、</w:t>
      </w:r>
      <w:r>
        <w:t>SBI</w:t>
      </w:r>
      <w:r>
        <w:t>、</w:t>
      </w:r>
      <w:r>
        <w:t xml:space="preserve"> IL-1β</w:t>
      </w:r>
      <w:r>
        <w:t>、</w:t>
      </w:r>
      <w:r>
        <w:t>TNF-α</w:t>
      </w:r>
      <w:r>
        <w:t>指标均显著高于治疗前，且</w:t>
      </w:r>
      <w:r>
        <w:t>Damon Q</w:t>
      </w:r>
      <w:proofErr w:type="gramStart"/>
      <w:r>
        <w:t>组治疗</w:t>
      </w:r>
      <w:proofErr w:type="gramEnd"/>
      <w:r>
        <w:t>1</w:t>
      </w:r>
      <w:r>
        <w:t>个月、</w:t>
      </w:r>
      <w:r>
        <w:t>2</w:t>
      </w:r>
      <w:r>
        <w:t>个月、</w:t>
      </w:r>
      <w:r>
        <w:t>3</w:t>
      </w:r>
      <w:r>
        <w:t>个月后各指标均高于</w:t>
      </w:r>
      <w:proofErr w:type="gramStart"/>
      <w:r>
        <w:t>隐适美组</w:t>
      </w:r>
      <w:proofErr w:type="gramEnd"/>
      <w:r>
        <w:t>（</w:t>
      </w:r>
      <w:r>
        <w:t>P</w:t>
      </w:r>
      <w:r>
        <w:t>＜</w:t>
      </w:r>
      <w:r>
        <w:t>0.05</w:t>
      </w:r>
      <w:r>
        <w:t>）。治疗</w:t>
      </w:r>
      <w:r>
        <w:t xml:space="preserve"> </w:t>
      </w:r>
      <w:r>
        <w:t>期间，两组患者</w:t>
      </w:r>
      <w:r>
        <w:t>OHIP-14</w:t>
      </w:r>
      <w:r>
        <w:t>评分均高于治疗前，且</w:t>
      </w:r>
      <w:r>
        <w:t>Damon Q</w:t>
      </w:r>
      <w:proofErr w:type="gramStart"/>
      <w:r>
        <w:t>组治疗</w:t>
      </w:r>
      <w:proofErr w:type="gramEnd"/>
      <w:r>
        <w:t>3</w:t>
      </w:r>
      <w:r>
        <w:t>个月、</w:t>
      </w:r>
      <w:r>
        <w:t>6</w:t>
      </w:r>
      <w:r>
        <w:t>个月后各指标评分均高于</w:t>
      </w:r>
      <w:proofErr w:type="gramStart"/>
      <w:r>
        <w:t>隐适美组</w:t>
      </w:r>
      <w:proofErr w:type="gramEnd"/>
      <w:r>
        <w:t>（</w:t>
      </w:r>
      <w:r>
        <w:t>P</w:t>
      </w:r>
      <w:r>
        <w:t>＜</w:t>
      </w:r>
      <w:r>
        <w:t>0.05</w:t>
      </w:r>
      <w:r>
        <w:t>）；但</w:t>
      </w:r>
      <w:r>
        <w:t xml:space="preserve"> </w:t>
      </w:r>
      <w:r>
        <w:t>治疗结束后，两组患者</w:t>
      </w:r>
      <w:r>
        <w:t>OHIP-14</w:t>
      </w:r>
      <w:r>
        <w:t>评分均低于治疗前（</w:t>
      </w:r>
      <w:r>
        <w:t>P</w:t>
      </w:r>
      <w:r>
        <w:t>＜</w:t>
      </w:r>
      <w:r>
        <w:t>0.05</w:t>
      </w:r>
      <w:r>
        <w:t>）。结论：</w:t>
      </w:r>
      <w:proofErr w:type="gramStart"/>
      <w:r>
        <w:t>隐适美</w:t>
      </w:r>
      <w:proofErr w:type="gramEnd"/>
      <w:r>
        <w:t>矫治器和</w:t>
      </w:r>
      <w:r>
        <w:t>Damon Q</w:t>
      </w:r>
      <w:r>
        <w:t>自锁托槽非拔牙矫治</w:t>
      </w:r>
      <w:proofErr w:type="gramStart"/>
      <w:r>
        <w:t>牙列拥</w:t>
      </w:r>
      <w:proofErr w:type="gramEnd"/>
      <w:r>
        <w:t xml:space="preserve"> </w:t>
      </w:r>
      <w:r>
        <w:t>挤均有良好效果，可改善牙弓宽度，对患者牙齿口腔卫生影响较小，但</w:t>
      </w:r>
      <w:proofErr w:type="gramStart"/>
      <w:r>
        <w:t>隐适美</w:t>
      </w:r>
      <w:proofErr w:type="gramEnd"/>
      <w:r>
        <w:t>矫治器更易保证牙周健康，控制牙周疾病的发</w:t>
      </w:r>
      <w:r>
        <w:t xml:space="preserve"> </w:t>
      </w:r>
      <w:r>
        <w:t>生，值得临床推广应用。</w:t>
      </w:r>
      <w:r>
        <w:t xml:space="preserve"> </w:t>
      </w:r>
    </w:p>
    <w:p w14:paraId="38EBF672" w14:textId="77777777" w:rsidR="00495448" w:rsidRDefault="00495448" w:rsidP="00495448"/>
    <w:p w14:paraId="54CE79BE" w14:textId="77777777" w:rsidR="00495448" w:rsidRDefault="00495448" w:rsidP="00495448">
      <w:r>
        <w:t>[</w:t>
      </w:r>
      <w:r>
        <w:t>关键词</w:t>
      </w:r>
      <w:r>
        <w:t>]</w:t>
      </w:r>
      <w:r>
        <w:t>牙列拥挤；非拔牙矫治；</w:t>
      </w:r>
      <w:proofErr w:type="gramStart"/>
      <w:r>
        <w:t>隐适美</w:t>
      </w:r>
      <w:proofErr w:type="gramEnd"/>
      <w:r>
        <w:t>矫治器；</w:t>
      </w:r>
      <w:r>
        <w:t>Damon Q</w:t>
      </w:r>
      <w:r>
        <w:t>自锁托槽；牙周健康</w:t>
      </w:r>
      <w:r>
        <w:t xml:space="preserve"> </w:t>
      </w:r>
    </w:p>
    <w:p w14:paraId="6AA03A7E" w14:textId="77777777" w:rsidR="00495448" w:rsidRDefault="00495448" w:rsidP="00495448"/>
    <w:p w14:paraId="79F1EDCF" w14:textId="77777777" w:rsidR="00495448" w:rsidRDefault="00495448" w:rsidP="00495448">
      <w:r>
        <w:t>[</w:t>
      </w:r>
      <w:r>
        <w:t>中图分类号</w:t>
      </w:r>
      <w:r>
        <w:t>]R783.5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01-0125-04 </w:t>
      </w:r>
    </w:p>
    <w:p w14:paraId="2E6B6245" w14:textId="77777777" w:rsidR="00495448" w:rsidRDefault="00495448" w:rsidP="00495448"/>
    <w:p w14:paraId="4132C83C" w14:textId="77777777" w:rsidR="00495448" w:rsidRDefault="00495448" w:rsidP="00495448">
      <w:r>
        <w:t>Comparison of Clinical Effect of Non-extraction Orthodontic Correction with Invisalign Appliance and Damon Q Self-</w:t>
      </w:r>
      <w:proofErr w:type="gramStart"/>
      <w:r>
        <w:t>ligating</w:t>
      </w:r>
      <w:proofErr w:type="gramEnd"/>
      <w:r>
        <w:t xml:space="preserve"> Bracket in Patients with Crowded Dentition </w:t>
      </w:r>
    </w:p>
    <w:p w14:paraId="17F83135" w14:textId="77777777" w:rsidR="00495448" w:rsidRDefault="00495448" w:rsidP="00495448"/>
    <w:p w14:paraId="1FCC7BF1" w14:textId="77777777" w:rsidR="00495448" w:rsidRDefault="00495448" w:rsidP="00495448">
      <w:r>
        <w:t xml:space="preserve">ZOU </w:t>
      </w:r>
      <w:proofErr w:type="spellStart"/>
      <w:proofErr w:type="gramStart"/>
      <w:r>
        <w:t>Hui,PENG</w:t>
      </w:r>
      <w:proofErr w:type="spellEnd"/>
      <w:proofErr w:type="gramEnd"/>
      <w:r>
        <w:t xml:space="preserve"> </w:t>
      </w:r>
      <w:proofErr w:type="spellStart"/>
      <w:r>
        <w:t>Youjian</w:t>
      </w:r>
      <w:proofErr w:type="spellEnd"/>
      <w:r>
        <w:t xml:space="preserve"> </w:t>
      </w:r>
    </w:p>
    <w:p w14:paraId="72B789D6" w14:textId="77777777" w:rsidR="00495448" w:rsidRDefault="00495448" w:rsidP="00495448"/>
    <w:p w14:paraId="3A43A504" w14:textId="02BB9E60" w:rsidR="00495448" w:rsidRDefault="00495448" w:rsidP="00495448">
      <w:r>
        <w:t xml:space="preserve">(Department of </w:t>
      </w:r>
      <w:proofErr w:type="spellStart"/>
      <w:proofErr w:type="gramStart"/>
      <w:r>
        <w:t>Stomatology,People's</w:t>
      </w:r>
      <w:proofErr w:type="spellEnd"/>
      <w:proofErr w:type="gramEnd"/>
      <w:r>
        <w:t xml:space="preserve"> Hospital of Wuhan </w:t>
      </w:r>
      <w:proofErr w:type="spellStart"/>
      <w:r>
        <w:t>University,Wuhan</w:t>
      </w:r>
      <w:proofErr w:type="spellEnd"/>
      <w:r>
        <w:t xml:space="preserve"> 430000,Hubei,China) </w:t>
      </w:r>
    </w:p>
    <w:p w14:paraId="380BCDA7" w14:textId="77777777" w:rsidR="00495448" w:rsidRDefault="00495448" w:rsidP="00495448"/>
    <w:p w14:paraId="1CE54052" w14:textId="501E5E13" w:rsidR="00495448" w:rsidRDefault="00495448" w:rsidP="00495448">
      <w:r>
        <w:t xml:space="preserve">Abstract: Objective To explore the clinical effect of non-extraction orthodontic correction with Invisalign appliance and Damon Q self-ligating bracket in patients with crowded dentition. Methods A total of 100 patients with crowded dentition undergoing non-extraction orthodontic correction in the hospital were enrolled between January 2019 and January 2022. According to diff </w:t>
      </w:r>
      <w:proofErr w:type="spellStart"/>
      <w:r>
        <w:t>erent</w:t>
      </w:r>
      <w:proofErr w:type="spellEnd"/>
      <w:r>
        <w:t xml:space="preserve"> orthodontic methods, they were divided into Invisalign group (orthodontic treatment with Invisalign appliance, 52 cases) and Damon Q group (orthodontic treatment with Damon Q self-ligating bracket, 48 cases). The indexes of dental arch width (</w:t>
      </w:r>
      <w:proofErr w:type="spellStart"/>
      <w:r>
        <w:t>intercanine</w:t>
      </w:r>
      <w:proofErr w:type="spellEnd"/>
      <w:r>
        <w:t xml:space="preserve"> width, </w:t>
      </w:r>
      <w:proofErr w:type="spellStart"/>
      <w:r>
        <w:t>intercanine</w:t>
      </w:r>
      <w:proofErr w:type="spellEnd"/>
      <w:r>
        <w:t xml:space="preserve"> width of the fi </w:t>
      </w:r>
      <w:proofErr w:type="spellStart"/>
      <w:r>
        <w:t>rst</w:t>
      </w:r>
      <w:proofErr w:type="spellEnd"/>
      <w:r>
        <w:t xml:space="preserve"> premolar and molar), periodontal health [gingival index (GI), plaque index (PLI), sulcus bleeding index (SBI)],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ammatory</w:t>
      </w:r>
      <w:proofErr w:type="spellEnd"/>
      <w:r>
        <w:t xml:space="preserve"> indexes in gingival crevicular </w:t>
      </w:r>
      <w:proofErr w:type="spellStart"/>
      <w:r>
        <w:t>fl</w:t>
      </w:r>
      <w:proofErr w:type="spellEnd"/>
      <w:r>
        <w:t xml:space="preserve"> </w:t>
      </w:r>
      <w:proofErr w:type="spellStart"/>
      <w:r>
        <w:t>uid</w:t>
      </w:r>
      <w:proofErr w:type="spellEnd"/>
      <w:r>
        <w:t xml:space="preserve"> [interleukin-1β (IL-1β), tumor necrosis factor-α (TNF-α)] and scores of oral health </w:t>
      </w:r>
      <w:proofErr w:type="spellStart"/>
      <w:r>
        <w:t>impactprofi</w:t>
      </w:r>
      <w:proofErr w:type="spellEnd"/>
      <w:r>
        <w:t xml:space="preserve"> le-14 (OHIP-14) in the two groups were compared. Results After treatment, width of dental arch was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increased </w:t>
      </w:r>
      <w:r>
        <w:lastRenderedPageBreak/>
        <w:t>in both groups (P</w:t>
      </w:r>
      <w:r>
        <w:t>＜</w:t>
      </w:r>
      <w:r>
        <w:t xml:space="preserve">0.05), but diff </w:t>
      </w:r>
      <w:proofErr w:type="spellStart"/>
      <w:r>
        <w:t>erence</w:t>
      </w:r>
      <w:proofErr w:type="spellEnd"/>
      <w:r>
        <w:t xml:space="preserve"> between the two groups was not statistically </w:t>
      </w:r>
      <w:proofErr w:type="spellStart"/>
      <w:r>
        <w:t>signifi</w:t>
      </w:r>
      <w:proofErr w:type="spellEnd"/>
      <w:r>
        <w:t xml:space="preserve"> cant (P</w:t>
      </w:r>
      <w:r>
        <w:t>＞</w:t>
      </w:r>
      <w:r>
        <w:t xml:space="preserve">0.05). After treatment, GI, PLI, SBI, IL-1β and TNF-α in both groups were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increased, which were higher in Damon Q group than Invisalign group after 1, 2 and 3 months of treatment (P</w:t>
      </w:r>
      <w:r>
        <w:t>＜</w:t>
      </w:r>
      <w:r>
        <w:t>0.05). During the treatment, OHIP-14 scores in both groups were increased, which were higher in Damon Q group than Invisalign group after 3 and 6 months of treatment (P</w:t>
      </w:r>
      <w:r>
        <w:t>＜</w:t>
      </w:r>
      <w:r>
        <w:t>0.05). After treatment, OHIP-14 scores in both groups were decreased (P</w:t>
      </w:r>
      <w:r>
        <w:t>＜</w:t>
      </w:r>
      <w:r>
        <w:t xml:space="preserve">0.05). Conclusion The curative eff </w:t>
      </w:r>
      <w:proofErr w:type="spellStart"/>
      <w:r>
        <w:t>ect</w:t>
      </w:r>
      <w:proofErr w:type="spellEnd"/>
      <w:r>
        <w:t xml:space="preserve"> of non-extraction orthodontic correction with both Invisalign appliance and Damon Q self-ligating bracket is good on crowded dentition, which can improve width of dental arch, with few eff </w:t>
      </w:r>
      <w:proofErr w:type="spellStart"/>
      <w:r>
        <w:t>ects</w:t>
      </w:r>
      <w:proofErr w:type="spellEnd"/>
      <w:r>
        <w:t xml:space="preserve"> on oral hygiene. However, Invisalign appliance is easier to ensure periodontal health and prevent the occurrence of periodontal diseases. </w:t>
      </w:r>
    </w:p>
    <w:p w14:paraId="5BF4C8F9" w14:textId="77777777" w:rsidR="00495448" w:rsidRDefault="00495448" w:rsidP="00495448"/>
    <w:p w14:paraId="3438E472" w14:textId="21E15133" w:rsidR="00007522" w:rsidRPr="00495448" w:rsidRDefault="00495448" w:rsidP="00495448">
      <w:r>
        <w:t xml:space="preserve">Key words: crowded dentition; non-extraction orthodontic treatment; </w:t>
      </w:r>
      <w:proofErr w:type="spellStart"/>
      <w:r>
        <w:t>invisalign</w:t>
      </w:r>
      <w:proofErr w:type="spellEnd"/>
      <w:r>
        <w:t xml:space="preserve"> appliance; Damon Q self-ligating bracket; periodontal health</w:t>
      </w:r>
    </w:p>
    <w:sectPr w:rsidR="00007522" w:rsidRPr="004954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C70EB" w14:textId="77777777" w:rsidR="0038322B" w:rsidRDefault="0038322B" w:rsidP="003724AB">
      <w:r>
        <w:separator/>
      </w:r>
    </w:p>
  </w:endnote>
  <w:endnote w:type="continuationSeparator" w:id="0">
    <w:p w14:paraId="6A3C87C8" w14:textId="77777777" w:rsidR="0038322B" w:rsidRDefault="0038322B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E9DF7E9-EC16-43B7-BF1D-86D720B2F6F3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4C9FB" w14:textId="77777777" w:rsidR="0038322B" w:rsidRDefault="0038322B" w:rsidP="003724AB">
      <w:r>
        <w:separator/>
      </w:r>
    </w:p>
  </w:footnote>
  <w:footnote w:type="continuationSeparator" w:id="0">
    <w:p w14:paraId="2CF1752B" w14:textId="77777777" w:rsidR="0038322B" w:rsidRDefault="0038322B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25C2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D5F0A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14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2E4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14B98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63916"/>
    <w:rsid w:val="00275815"/>
    <w:rsid w:val="002773D8"/>
    <w:rsid w:val="00277E64"/>
    <w:rsid w:val="00282AC2"/>
    <w:rsid w:val="00282D2D"/>
    <w:rsid w:val="00285C8C"/>
    <w:rsid w:val="00286638"/>
    <w:rsid w:val="00287B90"/>
    <w:rsid w:val="002918D1"/>
    <w:rsid w:val="002923EA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C08FE"/>
    <w:rsid w:val="002C1136"/>
    <w:rsid w:val="002C1298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5EFD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8322B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1FFB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D99"/>
    <w:rsid w:val="00481E1B"/>
    <w:rsid w:val="0048417E"/>
    <w:rsid w:val="00487391"/>
    <w:rsid w:val="00490408"/>
    <w:rsid w:val="004915A9"/>
    <w:rsid w:val="00495448"/>
    <w:rsid w:val="00495EDF"/>
    <w:rsid w:val="004A2AC0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3428"/>
    <w:rsid w:val="00546586"/>
    <w:rsid w:val="0056047D"/>
    <w:rsid w:val="00560801"/>
    <w:rsid w:val="0056306C"/>
    <w:rsid w:val="005655F2"/>
    <w:rsid w:val="005659C6"/>
    <w:rsid w:val="0057638E"/>
    <w:rsid w:val="00577DF7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3F55"/>
    <w:rsid w:val="00606409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70386"/>
    <w:rsid w:val="006706A4"/>
    <w:rsid w:val="006737ED"/>
    <w:rsid w:val="00674B20"/>
    <w:rsid w:val="006753C0"/>
    <w:rsid w:val="0067628C"/>
    <w:rsid w:val="00684D3A"/>
    <w:rsid w:val="006874B7"/>
    <w:rsid w:val="006941B1"/>
    <w:rsid w:val="00694343"/>
    <w:rsid w:val="006A4A02"/>
    <w:rsid w:val="006A521A"/>
    <w:rsid w:val="006A5A08"/>
    <w:rsid w:val="006B0304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5627"/>
    <w:rsid w:val="0071753F"/>
    <w:rsid w:val="0072049F"/>
    <w:rsid w:val="00721B70"/>
    <w:rsid w:val="00723B34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843FF"/>
    <w:rsid w:val="00796E83"/>
    <w:rsid w:val="007A3FAF"/>
    <w:rsid w:val="007A747F"/>
    <w:rsid w:val="007B0D87"/>
    <w:rsid w:val="007B5053"/>
    <w:rsid w:val="007C0EF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3DC1"/>
    <w:rsid w:val="00817CC3"/>
    <w:rsid w:val="00823940"/>
    <w:rsid w:val="00824F21"/>
    <w:rsid w:val="0082637D"/>
    <w:rsid w:val="00826E5C"/>
    <w:rsid w:val="00827AA4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7421A"/>
    <w:rsid w:val="00880659"/>
    <w:rsid w:val="0088203C"/>
    <w:rsid w:val="00882EF6"/>
    <w:rsid w:val="008844D5"/>
    <w:rsid w:val="0088482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6646B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376B"/>
    <w:rsid w:val="009E4C1C"/>
    <w:rsid w:val="009E53E9"/>
    <w:rsid w:val="009F02E1"/>
    <w:rsid w:val="009F073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155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0F4A"/>
    <w:rsid w:val="00AE2938"/>
    <w:rsid w:val="00AE297F"/>
    <w:rsid w:val="00AF1877"/>
    <w:rsid w:val="00AF48FE"/>
    <w:rsid w:val="00B00FC8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3EF3"/>
    <w:rsid w:val="00B3555B"/>
    <w:rsid w:val="00B37888"/>
    <w:rsid w:val="00B44B30"/>
    <w:rsid w:val="00B51139"/>
    <w:rsid w:val="00B51776"/>
    <w:rsid w:val="00B530E8"/>
    <w:rsid w:val="00B53D93"/>
    <w:rsid w:val="00B54C60"/>
    <w:rsid w:val="00B55305"/>
    <w:rsid w:val="00B5763D"/>
    <w:rsid w:val="00B578E3"/>
    <w:rsid w:val="00B6108A"/>
    <w:rsid w:val="00B62384"/>
    <w:rsid w:val="00B63343"/>
    <w:rsid w:val="00B6449E"/>
    <w:rsid w:val="00B730F4"/>
    <w:rsid w:val="00B75808"/>
    <w:rsid w:val="00B7733A"/>
    <w:rsid w:val="00B779CB"/>
    <w:rsid w:val="00B81C68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131"/>
    <w:rsid w:val="00BC08C2"/>
    <w:rsid w:val="00BC2D8C"/>
    <w:rsid w:val="00BD3E38"/>
    <w:rsid w:val="00BD68CB"/>
    <w:rsid w:val="00BD7BE5"/>
    <w:rsid w:val="00BE0EBF"/>
    <w:rsid w:val="00BE6792"/>
    <w:rsid w:val="00BE6E4B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426F"/>
    <w:rsid w:val="00C90C4C"/>
    <w:rsid w:val="00C97D14"/>
    <w:rsid w:val="00CA036E"/>
    <w:rsid w:val="00CA369C"/>
    <w:rsid w:val="00CA71B7"/>
    <w:rsid w:val="00CC0170"/>
    <w:rsid w:val="00CC3324"/>
    <w:rsid w:val="00CC3F66"/>
    <w:rsid w:val="00CC413B"/>
    <w:rsid w:val="00CC68A3"/>
    <w:rsid w:val="00CD2DDD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44CA2"/>
    <w:rsid w:val="00D4559A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E62FE"/>
    <w:rsid w:val="00DF1825"/>
    <w:rsid w:val="00DF3111"/>
    <w:rsid w:val="00DF6114"/>
    <w:rsid w:val="00DF7169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590"/>
    <w:rsid w:val="00E64659"/>
    <w:rsid w:val="00E67009"/>
    <w:rsid w:val="00E737AB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AB6"/>
    <w:rsid w:val="00F33AEE"/>
    <w:rsid w:val="00F421E0"/>
    <w:rsid w:val="00F4251C"/>
    <w:rsid w:val="00F4457C"/>
    <w:rsid w:val="00F46C7A"/>
    <w:rsid w:val="00F5119C"/>
    <w:rsid w:val="00F51219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D4C31"/>
    <w:rsid w:val="00FE6144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17830</TotalTime>
  <Pages>2</Pages>
  <Words>492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2371</cp:revision>
  <dcterms:created xsi:type="dcterms:W3CDTF">2022-07-04T07:48:00Z</dcterms:created>
  <dcterms:modified xsi:type="dcterms:W3CDTF">2024-01-31T06:53:00Z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