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AFB09" w14:textId="77777777" w:rsidR="004F5ADE" w:rsidRDefault="004F5ADE" w:rsidP="004F5ADE">
      <w:r>
        <w:t>复合树脂多层修复技术与复合树脂直接粘接修复技术在前牙间隙美学修复中的效果对比</w:t>
      </w:r>
      <w:r>
        <w:t xml:space="preserve"> </w:t>
      </w:r>
    </w:p>
    <w:p w14:paraId="65960147" w14:textId="77777777" w:rsidR="004F5ADE" w:rsidRDefault="004F5ADE" w:rsidP="004F5ADE"/>
    <w:p w14:paraId="3FDD2BA1" w14:textId="59FD4D94" w:rsidR="004F5ADE" w:rsidRDefault="004F5ADE" w:rsidP="004F5ADE">
      <w:r>
        <w:t>田慧萍</w:t>
      </w:r>
      <w:r>
        <w:t xml:space="preserve">1 </w:t>
      </w:r>
      <w:r>
        <w:t>，施</w:t>
      </w:r>
      <w:r>
        <w:t xml:space="preserve"> </w:t>
      </w:r>
      <w:r>
        <w:t>昭</w:t>
      </w:r>
      <w:r>
        <w:t xml:space="preserve">1 </w:t>
      </w:r>
      <w:r>
        <w:t>，金</w:t>
      </w:r>
      <w:r>
        <w:t xml:space="preserve"> </w:t>
      </w:r>
      <w:r>
        <w:t>莉</w:t>
      </w:r>
      <w:r>
        <w:t xml:space="preserve">1 </w:t>
      </w:r>
      <w:r>
        <w:t>，刘东亚</w:t>
      </w:r>
      <w:r>
        <w:t xml:space="preserve">2 </w:t>
      </w:r>
    </w:p>
    <w:p w14:paraId="75D94AE5" w14:textId="77777777" w:rsidR="004F5ADE" w:rsidRDefault="004F5ADE" w:rsidP="004F5ADE"/>
    <w:p w14:paraId="3F280D1F" w14:textId="22DF9163" w:rsidR="004F5ADE" w:rsidRDefault="004F5ADE" w:rsidP="004F5ADE">
      <w:r>
        <w:t>（</w:t>
      </w:r>
      <w:r>
        <w:t>1.</w:t>
      </w:r>
      <w:r>
        <w:t>阜阳市第五人民医院口腔科</w:t>
      </w:r>
      <w:r>
        <w:t xml:space="preserve"> </w:t>
      </w:r>
      <w:r>
        <w:t>安徽</w:t>
      </w:r>
      <w:r>
        <w:t xml:space="preserve"> </w:t>
      </w:r>
      <w:r>
        <w:t>阜阳</w:t>
      </w:r>
      <w:r>
        <w:t xml:space="preserve"> 236000</w:t>
      </w:r>
      <w:r>
        <w:t>；</w:t>
      </w:r>
      <w:r>
        <w:t>2.</w:t>
      </w:r>
      <w:r>
        <w:t>阜阳市中医医院口腔科</w:t>
      </w:r>
      <w:r>
        <w:t xml:space="preserve"> </w:t>
      </w:r>
      <w:r>
        <w:t>安徽</w:t>
      </w:r>
      <w:r>
        <w:t xml:space="preserve"> </w:t>
      </w:r>
      <w:r>
        <w:t>阜阳</w:t>
      </w:r>
      <w:r>
        <w:t xml:space="preserve"> 236000</w:t>
      </w:r>
      <w:r>
        <w:t>）</w:t>
      </w:r>
      <w:r>
        <w:t xml:space="preserve"> </w:t>
      </w:r>
    </w:p>
    <w:p w14:paraId="621508DA" w14:textId="77777777" w:rsidR="004F5ADE" w:rsidRDefault="004F5ADE" w:rsidP="004F5ADE"/>
    <w:p w14:paraId="1A3720E7" w14:textId="7E8C2930" w:rsidR="004F5ADE" w:rsidRDefault="004F5ADE" w:rsidP="004F5ADE">
      <w:r>
        <w:t>[</w:t>
      </w:r>
      <w:r>
        <w:t>摘要</w:t>
      </w:r>
      <w:r>
        <w:t>]</w:t>
      </w:r>
      <w:r>
        <w:t>目的：对比分析复合树脂多层修复技术与复合树脂直接粘接修复技术在前牙间隙美学修复中的效果。方法：纳入笔</w:t>
      </w:r>
      <w:r>
        <w:t xml:space="preserve"> </w:t>
      </w:r>
      <w:r>
        <w:t>者医院</w:t>
      </w:r>
      <w:r>
        <w:t>2020</w:t>
      </w:r>
      <w:r>
        <w:t>年</w:t>
      </w:r>
      <w:r>
        <w:t>6</w:t>
      </w:r>
      <w:r>
        <w:t>月</w:t>
      </w:r>
      <w:r>
        <w:t>-2021</w:t>
      </w:r>
      <w:r>
        <w:t>年</w:t>
      </w:r>
      <w:r>
        <w:t>6</w:t>
      </w:r>
      <w:r>
        <w:t>月收治的</w:t>
      </w:r>
      <w:r>
        <w:t>98</w:t>
      </w:r>
      <w:r>
        <w:t>例（共</w:t>
      </w:r>
      <w:r>
        <w:t>104</w:t>
      </w:r>
      <w:r>
        <w:t>颗患牙）前牙间隙患者作为研究对象，按照随机数表法分为</w:t>
      </w:r>
      <w:r>
        <w:t>A</w:t>
      </w:r>
      <w:r>
        <w:t>组和</w:t>
      </w:r>
      <w:r>
        <w:t>B</w:t>
      </w:r>
      <w:r>
        <w:t>组，各</w:t>
      </w:r>
      <w:r>
        <w:t xml:space="preserve"> 49</w:t>
      </w:r>
      <w:r>
        <w:t>例。</w:t>
      </w:r>
      <w:r>
        <w:t>A</w:t>
      </w:r>
      <w:r>
        <w:t>组患者接受复合树脂多层修复技术，</w:t>
      </w:r>
      <w:r>
        <w:t>B</w:t>
      </w:r>
      <w:r>
        <w:t>组患者接受复合树脂直接粘接修复技术。对比两组修复效果、美学效果和治</w:t>
      </w:r>
      <w:r>
        <w:t xml:space="preserve"> </w:t>
      </w:r>
      <w:r>
        <w:t>疗总费用，比较两组修复前和修复</w:t>
      </w:r>
      <w:r>
        <w:t>30 d</w:t>
      </w:r>
      <w:r>
        <w:t>后、</w:t>
      </w:r>
      <w:r>
        <w:t>6</w:t>
      </w:r>
      <w:r>
        <w:t>个月后的咬合力、咀嚼效率和焦虑自评量表（</w:t>
      </w:r>
      <w:r>
        <w:t>Self-rating anxiety scale, SAS</w:t>
      </w:r>
      <w:r>
        <w:t>）、抑郁自评量表（</w:t>
      </w:r>
      <w:r>
        <w:t>Self-rating depression scale, SDS</w:t>
      </w:r>
      <w:r>
        <w:t>）评分。结果：修复</w:t>
      </w:r>
      <w:r>
        <w:t>30 d</w:t>
      </w:r>
      <w:r>
        <w:t>后，</w:t>
      </w:r>
      <w:r>
        <w:t>A</w:t>
      </w:r>
      <w:r>
        <w:t>组优秀率高于</w:t>
      </w:r>
      <w:r>
        <w:t>B</w:t>
      </w:r>
      <w:r>
        <w:t>组（</w:t>
      </w:r>
      <w:r>
        <w:t>P</w:t>
      </w:r>
      <w:r>
        <w:t>＜</w:t>
      </w:r>
      <w:r>
        <w:t>0.05</w:t>
      </w:r>
      <w:r>
        <w:t>），</w:t>
      </w:r>
      <w:r>
        <w:t xml:space="preserve"> </w:t>
      </w:r>
      <w:r>
        <w:t>两组良好率和不良率比较无统计学意义（</w:t>
      </w:r>
      <w:r>
        <w:t>P</w:t>
      </w:r>
      <w:r>
        <w:t>＞</w:t>
      </w:r>
      <w:r>
        <w:t>0.05</w:t>
      </w:r>
      <w:r>
        <w:t>）。修复</w:t>
      </w:r>
      <w:r>
        <w:t>6</w:t>
      </w:r>
      <w:r>
        <w:t>个月后，</w:t>
      </w:r>
      <w:r>
        <w:t>A</w:t>
      </w:r>
      <w:r>
        <w:t>组优秀率和不良率均高于</w:t>
      </w:r>
      <w:r>
        <w:t>B</w:t>
      </w:r>
      <w:r>
        <w:t>组（</w:t>
      </w:r>
      <w:r>
        <w:t>P</w:t>
      </w:r>
      <w:r>
        <w:t>＜</w:t>
      </w:r>
      <w:r>
        <w:t>0.05</w:t>
      </w:r>
      <w:r>
        <w:t>），两组良好</w:t>
      </w:r>
      <w:r>
        <w:t xml:space="preserve"> </w:t>
      </w:r>
      <w:r>
        <w:t>率比较无统计学意义（</w:t>
      </w:r>
      <w:r>
        <w:t>P</w:t>
      </w:r>
      <w:r>
        <w:t>＞</w:t>
      </w:r>
      <w:r>
        <w:t>0.05</w:t>
      </w:r>
      <w:r>
        <w:t>）。患者的咬合力在时间、交互作用上差异有统计学意义（</w:t>
      </w:r>
      <w:r>
        <w:t>P</w:t>
      </w:r>
      <w:r>
        <w:t>＜</w:t>
      </w:r>
      <w:r>
        <w:t>0.05</w:t>
      </w:r>
      <w:r>
        <w:t>），在组间作用上差异无</w:t>
      </w:r>
      <w:r>
        <w:t xml:space="preserve"> </w:t>
      </w:r>
      <w:r>
        <w:t>统计学意义（</w:t>
      </w:r>
      <w:r>
        <w:t>P</w:t>
      </w:r>
      <w:r>
        <w:t>＞</w:t>
      </w:r>
      <w:r>
        <w:t>0.05</w:t>
      </w:r>
      <w:r>
        <w:t>）。患者的咀嚼效率在时间、组间、交互作用上差异均有统计学意义（</w:t>
      </w:r>
      <w:r>
        <w:t>P</w:t>
      </w:r>
      <w:r>
        <w:t>＜</w:t>
      </w:r>
      <w:r>
        <w:t>0.05</w:t>
      </w:r>
      <w:r>
        <w:t>）。修复</w:t>
      </w:r>
      <w:r>
        <w:t>6</w:t>
      </w:r>
      <w:r>
        <w:t>个月后，两</w:t>
      </w:r>
      <w:r>
        <w:t xml:space="preserve"> </w:t>
      </w:r>
      <w:r>
        <w:t>组患者咬合力和咀嚼效率均较修复</w:t>
      </w:r>
      <w:r>
        <w:t>30 d</w:t>
      </w:r>
      <w:r>
        <w:t>后和修复前升高，且</w:t>
      </w:r>
      <w:r>
        <w:t>A</w:t>
      </w:r>
      <w:r>
        <w:t>组咬合力和咀嚼效率高于</w:t>
      </w:r>
      <w:r>
        <w:t>B</w:t>
      </w:r>
      <w:r>
        <w:t>组（</w:t>
      </w:r>
      <w:r>
        <w:t>P</w:t>
      </w:r>
      <w:r>
        <w:t>＜</w:t>
      </w:r>
      <w:r>
        <w:t>0.05</w:t>
      </w:r>
      <w:r>
        <w:t>）。</w:t>
      </w:r>
      <w:r>
        <w:t>A</w:t>
      </w:r>
      <w:r>
        <w:t>组修复后的边缘密</w:t>
      </w:r>
      <w:r>
        <w:t xml:space="preserve"> </w:t>
      </w:r>
      <w:r>
        <w:t>合性、颜色匹配性、修复体崩裂、继发龋损、形态匹配、修复体脱落和牙龈健康评分均低于</w:t>
      </w:r>
      <w:r>
        <w:t>B</w:t>
      </w:r>
      <w:r>
        <w:t>组（</w:t>
      </w:r>
      <w:r>
        <w:t>P</w:t>
      </w:r>
      <w:r>
        <w:t>＜</w:t>
      </w:r>
      <w:r>
        <w:t>0.05</w:t>
      </w:r>
      <w:r>
        <w:t>）。患者的</w:t>
      </w:r>
      <w:r>
        <w:t>SAS</w:t>
      </w:r>
      <w:r>
        <w:t>评</w:t>
      </w:r>
      <w:r>
        <w:t xml:space="preserve"> </w:t>
      </w:r>
      <w:r>
        <w:t>分和</w:t>
      </w:r>
      <w:r>
        <w:t>SDS</w:t>
      </w:r>
      <w:r>
        <w:t>评分在时间、组间、交互作用上有统计学意义（均</w:t>
      </w:r>
      <w:r>
        <w:t>P</w:t>
      </w:r>
      <w:r>
        <w:t>＜</w:t>
      </w:r>
      <w:r>
        <w:t>0.05</w:t>
      </w:r>
      <w:r>
        <w:t>）。修复</w:t>
      </w:r>
      <w:r>
        <w:t>30 d</w:t>
      </w:r>
      <w:r>
        <w:t>后和修复</w:t>
      </w:r>
      <w:r>
        <w:t>6</w:t>
      </w:r>
      <w:r>
        <w:t>个月后，两组患者</w:t>
      </w:r>
      <w:r>
        <w:t>SAS</w:t>
      </w:r>
      <w:r>
        <w:t>和</w:t>
      </w:r>
      <w:r>
        <w:t>SDS</w:t>
      </w:r>
      <w:r>
        <w:t>评分</w:t>
      </w:r>
      <w:r>
        <w:t xml:space="preserve"> </w:t>
      </w:r>
      <w:r>
        <w:t>均较修复前降低，且</w:t>
      </w:r>
      <w:r>
        <w:t>A</w:t>
      </w:r>
      <w:r>
        <w:t>组低于</w:t>
      </w:r>
      <w:r>
        <w:t>B</w:t>
      </w:r>
      <w:r>
        <w:t>组（</w:t>
      </w:r>
      <w:r>
        <w:t>P</w:t>
      </w:r>
      <w:r>
        <w:t>＜</w:t>
      </w:r>
      <w:r>
        <w:t>0.05</w:t>
      </w:r>
      <w:r>
        <w:t>）。</w:t>
      </w:r>
      <w:r>
        <w:t>A</w:t>
      </w:r>
      <w:r>
        <w:t>组治疗总花费高于</w:t>
      </w:r>
      <w:r>
        <w:t>B</w:t>
      </w:r>
      <w:r>
        <w:t>组（</w:t>
      </w:r>
      <w:r>
        <w:t>P</w:t>
      </w:r>
      <w:r>
        <w:t>＜</w:t>
      </w:r>
      <w:r>
        <w:t>0.05</w:t>
      </w:r>
      <w:r>
        <w:t>）。结论：与复合树脂直接粘接修复技术相</w:t>
      </w:r>
      <w:r>
        <w:t xml:space="preserve"> </w:t>
      </w:r>
      <w:r>
        <w:t>比，在前牙间隙美学修复中应用复合树脂多层修复技术可取得更佳的修复效果，有助于恢复患者咬合力和咀嚼功能，使患者</w:t>
      </w:r>
      <w:r>
        <w:t xml:space="preserve"> </w:t>
      </w:r>
      <w:r>
        <w:t>获得良好美学效果，改善其心理状态。但治疗总花费相对较高，临床治疗需结合患者经济情况选择合适治疗方案。</w:t>
      </w:r>
      <w:r>
        <w:t xml:space="preserve"> </w:t>
      </w:r>
    </w:p>
    <w:p w14:paraId="290103F4" w14:textId="77777777" w:rsidR="004F5ADE" w:rsidRDefault="004F5ADE" w:rsidP="004F5ADE"/>
    <w:p w14:paraId="7ADA9684" w14:textId="77777777" w:rsidR="004F5ADE" w:rsidRDefault="004F5ADE" w:rsidP="004F5ADE">
      <w:r>
        <w:t>[</w:t>
      </w:r>
      <w:r>
        <w:t>关键词</w:t>
      </w:r>
      <w:r>
        <w:t>]</w:t>
      </w:r>
      <w:r>
        <w:t>前牙间隙；复合树脂多层修复；复合树脂直接粘接修复；美学修复；咀嚼功能；治疗费用</w:t>
      </w:r>
      <w:r>
        <w:t xml:space="preserve"> </w:t>
      </w:r>
    </w:p>
    <w:p w14:paraId="10FB6175" w14:textId="77777777" w:rsidR="004F5ADE" w:rsidRDefault="004F5ADE" w:rsidP="004F5ADE"/>
    <w:p w14:paraId="3C0D1CD0" w14:textId="2ECD31C7" w:rsidR="004F5ADE" w:rsidRDefault="004F5ADE" w:rsidP="004F5ADE">
      <w:r>
        <w:t>[</w:t>
      </w:r>
      <w:r>
        <w:t>中图分类号</w:t>
      </w:r>
      <w:r>
        <w:t>]R783 [</w:t>
      </w:r>
      <w:r>
        <w:t>文献标志码</w:t>
      </w:r>
      <w:r>
        <w:t>]A [</w:t>
      </w:r>
      <w:r>
        <w:t>文章编号</w:t>
      </w:r>
      <w:r>
        <w:t>]1008-6455</w:t>
      </w:r>
      <w:r>
        <w:t>（</w:t>
      </w:r>
      <w:r>
        <w:t>2024</w:t>
      </w:r>
      <w:r>
        <w:t>）</w:t>
      </w:r>
      <w:r>
        <w:t xml:space="preserve">04-0147-05 </w:t>
      </w:r>
    </w:p>
    <w:p w14:paraId="3C365DED" w14:textId="77777777" w:rsidR="004F5ADE" w:rsidRDefault="004F5ADE" w:rsidP="004F5ADE"/>
    <w:p w14:paraId="133D733F" w14:textId="77777777" w:rsidR="004F5ADE" w:rsidRDefault="004F5ADE" w:rsidP="004F5ADE">
      <w:r>
        <w:t xml:space="preserve">Comparison of the Effects Between Multi-layer Composite Resin Repair Technique and Composite Resin Direct Bonding Repair Technique in Esthetic Restoration of Anterior Teeth Space </w:t>
      </w:r>
    </w:p>
    <w:p w14:paraId="02C67366" w14:textId="77777777" w:rsidR="004F5ADE" w:rsidRDefault="004F5ADE" w:rsidP="004F5ADE"/>
    <w:p w14:paraId="7361D3F4" w14:textId="377AF2EE" w:rsidR="004F5ADE" w:rsidRDefault="004F5ADE" w:rsidP="004F5ADE">
      <w:r>
        <w:t>TIAN Huiping1 , SHI Zhao1 , JIN Li1 , LIU Dongya2</w:t>
      </w:r>
    </w:p>
    <w:p w14:paraId="160D00AB" w14:textId="77777777" w:rsidR="004F5ADE" w:rsidRDefault="004F5ADE" w:rsidP="004F5ADE"/>
    <w:p w14:paraId="74976D73" w14:textId="0B0D3DEA" w:rsidR="00202EE8" w:rsidRDefault="004F5ADE" w:rsidP="004F5ADE">
      <w:r>
        <w:t xml:space="preserve"> (1.Department of stomatology, </w:t>
      </w:r>
      <w:proofErr w:type="spellStart"/>
      <w:r>
        <w:t>Fuyang</w:t>
      </w:r>
      <w:proofErr w:type="spellEnd"/>
      <w:r>
        <w:t xml:space="preserve"> Fifth People's Hospital, </w:t>
      </w:r>
      <w:proofErr w:type="spellStart"/>
      <w:r>
        <w:t>Fuyang</w:t>
      </w:r>
      <w:proofErr w:type="spellEnd"/>
      <w:r>
        <w:t xml:space="preserve"> 236000, Anhui, China; 2.Department of stomatology, </w:t>
      </w:r>
      <w:proofErr w:type="spellStart"/>
      <w:r>
        <w:t>Fuyang</w:t>
      </w:r>
      <w:proofErr w:type="spellEnd"/>
      <w:r>
        <w:t xml:space="preserve"> Traditional Chinese Medicine Hospital, </w:t>
      </w:r>
      <w:proofErr w:type="spellStart"/>
      <w:r>
        <w:t>Fuyang</w:t>
      </w:r>
      <w:proofErr w:type="spellEnd"/>
      <w:r>
        <w:t xml:space="preserve"> 236000, Anhui, China)</w:t>
      </w:r>
    </w:p>
    <w:p w14:paraId="6B3ACFA8" w14:textId="77777777" w:rsidR="004F5ADE" w:rsidRDefault="004F5ADE" w:rsidP="004F5ADE"/>
    <w:p w14:paraId="6C36C0D7" w14:textId="77777777" w:rsidR="004F5ADE" w:rsidRDefault="004F5ADE" w:rsidP="004F5ADE">
      <w:r>
        <w:t xml:space="preserve">Abstract: Objective To compare and analyze the eff </w:t>
      </w:r>
      <w:proofErr w:type="spellStart"/>
      <w:r>
        <w:t>ects</w:t>
      </w:r>
      <w:proofErr w:type="spellEnd"/>
      <w:r>
        <w:t xml:space="preserve"> of composite resin multi-layer restoration and composite resin direct bonding restoration in anterior dental space cosmetic repair. Methods A total of 98 patients (104 teeth) with anterior space between teeth who were admitted to the </w:t>
      </w:r>
      <w:r>
        <w:lastRenderedPageBreak/>
        <w:t xml:space="preserve">author's hospital from June 2020 to June 2021 were included in the study. They were divided into group A and group B according to the random number table method, with 49 cases in each group. Patients in group A received multi-layer composite resin repair technology, while patients in group B received direct composite resin bonding repair technology. The repair eff </w:t>
      </w:r>
      <w:proofErr w:type="spellStart"/>
      <w:r>
        <w:t>ect</w:t>
      </w:r>
      <w:proofErr w:type="spellEnd"/>
      <w:r>
        <w:t xml:space="preserve">, aesthetics and total treatment cost were compared between the two groups. Bite force, mastication </w:t>
      </w:r>
      <w:proofErr w:type="spellStart"/>
      <w:r>
        <w:t>effi</w:t>
      </w:r>
      <w:proofErr w:type="spellEnd"/>
      <w:r>
        <w:t xml:space="preserve"> </w:t>
      </w:r>
      <w:proofErr w:type="spellStart"/>
      <w:r>
        <w:t>ciency</w:t>
      </w:r>
      <w:proofErr w:type="spellEnd"/>
      <w:r>
        <w:t xml:space="preserve"> and self-rating anxiety scale (SAS) and self-rating depression scale (SDS) were compared between the two groups before repair, 30d after repair and 6 months after repair. Results After 30 days of repair, the excellent rate of group A was higher than that of group B (P</w:t>
      </w:r>
      <w:r>
        <w:t>＜</w:t>
      </w:r>
      <w:r>
        <w:t xml:space="preserve">0.05), and there was no statistical </w:t>
      </w:r>
      <w:proofErr w:type="spellStart"/>
      <w:r>
        <w:t>signifi</w:t>
      </w:r>
      <w:proofErr w:type="spellEnd"/>
      <w:r>
        <w:t xml:space="preserve"> cant diff </w:t>
      </w:r>
      <w:proofErr w:type="spellStart"/>
      <w:r>
        <w:t>erence</w:t>
      </w:r>
      <w:proofErr w:type="spellEnd"/>
      <w:r>
        <w:t xml:space="preserve"> between the good rate and the bad rate between the two groups (P</w:t>
      </w:r>
      <w:r>
        <w:t>＞</w:t>
      </w:r>
      <w:r>
        <w:t>0.05). After half a year's repair, the excellent and bad rates in group A were higher than those in group B (P</w:t>
      </w:r>
      <w:r>
        <w:t>＜</w:t>
      </w:r>
      <w:r>
        <w:t xml:space="preserve">0.05), but there was no </w:t>
      </w:r>
      <w:proofErr w:type="spellStart"/>
      <w:r>
        <w:t>signifi</w:t>
      </w:r>
      <w:proofErr w:type="spellEnd"/>
      <w:r>
        <w:t xml:space="preserve"> cant diff </w:t>
      </w:r>
      <w:proofErr w:type="spellStart"/>
      <w:r>
        <w:t>erence</w:t>
      </w:r>
      <w:proofErr w:type="spellEnd"/>
      <w:r>
        <w:t xml:space="preserve"> between the two groups (P</w:t>
      </w:r>
      <w:r>
        <w:t>＞</w:t>
      </w:r>
      <w:r>
        <w:t xml:space="preserve">0.05). There were statistically </w:t>
      </w:r>
      <w:proofErr w:type="spellStart"/>
      <w:r>
        <w:t>signifi</w:t>
      </w:r>
      <w:proofErr w:type="spellEnd"/>
      <w:r>
        <w:t xml:space="preserve"> cant diff </w:t>
      </w:r>
      <w:proofErr w:type="spellStart"/>
      <w:r>
        <w:t>erences</w:t>
      </w:r>
      <w:proofErr w:type="spellEnd"/>
      <w:r>
        <w:t xml:space="preserve"> in the time and interaction of patients' biting force (P</w:t>
      </w:r>
      <w:r>
        <w:t>＜</w:t>
      </w:r>
      <w:r>
        <w:t xml:space="preserve">0.05), but no statistically </w:t>
      </w:r>
      <w:proofErr w:type="spellStart"/>
      <w:r>
        <w:t>signifi</w:t>
      </w:r>
      <w:proofErr w:type="spellEnd"/>
      <w:r>
        <w:t xml:space="preserve"> cant diff </w:t>
      </w:r>
      <w:proofErr w:type="spellStart"/>
      <w:r>
        <w:t>erences</w:t>
      </w:r>
      <w:proofErr w:type="spellEnd"/>
      <w:r>
        <w:t xml:space="preserve"> in the application between groups. There were </w:t>
      </w:r>
      <w:proofErr w:type="spellStart"/>
      <w:r>
        <w:t>signifi</w:t>
      </w:r>
      <w:proofErr w:type="spellEnd"/>
      <w:r>
        <w:t xml:space="preserve"> cant diff </w:t>
      </w:r>
      <w:proofErr w:type="spellStart"/>
      <w:r>
        <w:t>erences</w:t>
      </w:r>
      <w:proofErr w:type="spellEnd"/>
      <w:r>
        <w:t xml:space="preserve"> in mastication </w:t>
      </w:r>
      <w:proofErr w:type="spellStart"/>
      <w:r>
        <w:t>effi</w:t>
      </w:r>
      <w:proofErr w:type="spellEnd"/>
      <w:r>
        <w:t xml:space="preserve"> </w:t>
      </w:r>
      <w:proofErr w:type="spellStart"/>
      <w:r>
        <w:t>ciency</w:t>
      </w:r>
      <w:proofErr w:type="spellEnd"/>
      <w:r>
        <w:t xml:space="preserve"> of patients in terms of time, intergroup and interaction (P</w:t>
      </w:r>
      <w:r>
        <w:t>＜</w:t>
      </w:r>
      <w:r>
        <w:t xml:space="preserve">0.05). After six months of repair, the bite force and masticatory </w:t>
      </w:r>
      <w:proofErr w:type="spellStart"/>
      <w:r>
        <w:t>effi</w:t>
      </w:r>
      <w:proofErr w:type="spellEnd"/>
      <w:r>
        <w:t xml:space="preserve"> </w:t>
      </w:r>
      <w:proofErr w:type="spellStart"/>
      <w:r>
        <w:t>ciency</w:t>
      </w:r>
      <w:proofErr w:type="spellEnd"/>
      <w:r>
        <w:t xml:space="preserve"> in both groups were higher than those after 30 days of restoration and before restoration, and the bite force and chewing </w:t>
      </w:r>
      <w:proofErr w:type="spellStart"/>
      <w:r>
        <w:t>effi</w:t>
      </w:r>
      <w:proofErr w:type="spellEnd"/>
      <w:r>
        <w:t xml:space="preserve"> </w:t>
      </w:r>
      <w:proofErr w:type="spellStart"/>
      <w:r>
        <w:t>ciency</w:t>
      </w:r>
      <w:proofErr w:type="spellEnd"/>
      <w:r>
        <w:t xml:space="preserve"> of group A were higher than those of group B (P</w:t>
      </w:r>
      <w:r>
        <w:t>＜</w:t>
      </w:r>
      <w:r>
        <w:t>0.05). The edge compatibility, color matching, fracture of restoration, secondary caries, shape matching, loss of restoration and gingival health scores in group A were lower than those in group B (P</w:t>
      </w:r>
      <w:r>
        <w:t>＜</w:t>
      </w:r>
      <w:r>
        <w:t xml:space="preserve">0.05).There were statistical </w:t>
      </w:r>
      <w:proofErr w:type="spellStart"/>
      <w:r>
        <w:t>signifi</w:t>
      </w:r>
      <w:proofErr w:type="spellEnd"/>
      <w:r>
        <w:t xml:space="preserve"> </w:t>
      </w:r>
      <w:proofErr w:type="spellStart"/>
      <w:r>
        <w:t>cance</w:t>
      </w:r>
      <w:proofErr w:type="spellEnd"/>
      <w:r>
        <w:t xml:space="preserve"> in SAS score and SDS score of patients in terms of time, intergroup and interaction (all P</w:t>
      </w:r>
      <w:r>
        <w:t>＜</w:t>
      </w:r>
      <w:r>
        <w:t>0.05). After 30 days of repair and half a year of repair, SAS and SDS scores of patients in both groups were lower than those before repair, and those in group A were lower than those in group B (P</w:t>
      </w:r>
      <w:r>
        <w:t>＜</w:t>
      </w:r>
      <w:r>
        <w:t>0.05). The total cost of treatment in group A was higher than that in group B (P</w:t>
      </w:r>
      <w:r>
        <w:t>＜</w:t>
      </w:r>
      <w:r>
        <w:t xml:space="preserve">0.05). Conclusion Compared with the composite resin direct bonding repair technology, the composite resin multi-layer repair technology can achieve better repair eff </w:t>
      </w:r>
      <w:proofErr w:type="spellStart"/>
      <w:r>
        <w:t>ect</w:t>
      </w:r>
      <w:proofErr w:type="spellEnd"/>
      <w:r>
        <w:t xml:space="preserve"> in the aesthetic repair of anterior dental space, which is helpful to restore the bite force and masticatory function of patients, and make patients obtain good aesthetic eff </w:t>
      </w:r>
      <w:proofErr w:type="spellStart"/>
      <w:r>
        <w:t>ect</w:t>
      </w:r>
      <w:proofErr w:type="spellEnd"/>
      <w:r>
        <w:t xml:space="preserve"> and improve their psychological state. However, the total cost of treatment is relatively high, and appropriate treatment plan should be selected in combination with the economic situation of patients in clinical treatment. </w:t>
      </w:r>
    </w:p>
    <w:p w14:paraId="50B001C2" w14:textId="77777777" w:rsidR="004F5ADE" w:rsidRDefault="004F5ADE" w:rsidP="004F5ADE"/>
    <w:p w14:paraId="2BF5B9C3" w14:textId="0B90E50E" w:rsidR="004F5ADE" w:rsidRPr="004F5ADE" w:rsidRDefault="004F5ADE" w:rsidP="004F5ADE">
      <w:pPr>
        <w:rPr>
          <w:rFonts w:hint="eastAsia"/>
        </w:rPr>
      </w:pPr>
      <w:r>
        <w:t>Key words: anterior space; multi-layer repair of composite resin; composite resin direct bonding repair; aesthetic restoration; chewing function; cost of treatment</w:t>
      </w:r>
    </w:p>
    <w:sectPr w:rsidR="004F5ADE" w:rsidRPr="004F5AD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6DB0A" w14:textId="77777777" w:rsidR="007A380A" w:rsidRDefault="007A380A" w:rsidP="003724AB">
      <w:r>
        <w:separator/>
      </w:r>
    </w:p>
  </w:endnote>
  <w:endnote w:type="continuationSeparator" w:id="0">
    <w:p w14:paraId="2CD6356C" w14:textId="77777777" w:rsidR="007A380A" w:rsidRDefault="007A380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B6B9640-4ABA-4B50-8802-136260CA531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BD8A4" w14:textId="77777777" w:rsidR="007A380A" w:rsidRDefault="007A380A" w:rsidP="003724AB">
      <w:r>
        <w:separator/>
      </w:r>
    </w:p>
  </w:footnote>
  <w:footnote w:type="continuationSeparator" w:id="0">
    <w:p w14:paraId="61BAD69B" w14:textId="77777777" w:rsidR="007A380A" w:rsidRDefault="007A380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80A"/>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26326</TotalTime>
  <Pages>2</Pages>
  <Words>717</Words>
  <Characters>4088</Characters>
  <Application>Microsoft Office Word</Application>
  <DocSecurity>0</DocSecurity>
  <Lines>34</Lines>
  <Paragraphs>9</Paragraphs>
  <ScaleCrop>false</ScaleCrop>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2970</cp:revision>
  <dcterms:created xsi:type="dcterms:W3CDTF">2022-07-04T07:48:00Z</dcterms:created>
  <dcterms:modified xsi:type="dcterms:W3CDTF">2024-04-19T09:04:00Z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