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2DBA9" w14:textId="77777777" w:rsidR="004B1070" w:rsidRDefault="004B1070" w:rsidP="004B1070">
      <w:r>
        <w:t>高强纤维牙周夹板联合甲硝唑药膜治疗老年中重度牙周病疗效分析</w:t>
      </w:r>
      <w:r>
        <w:t xml:space="preserve"> </w:t>
      </w:r>
    </w:p>
    <w:p w14:paraId="72B9B2BF" w14:textId="77777777" w:rsidR="004B1070" w:rsidRDefault="004B1070" w:rsidP="004B1070"/>
    <w:p w14:paraId="39CBE4DC" w14:textId="41A1AEBF" w:rsidR="004B1070" w:rsidRDefault="004B1070" w:rsidP="004B1070">
      <w:r>
        <w:t>王</w:t>
      </w:r>
      <w:r>
        <w:t xml:space="preserve"> </w:t>
      </w:r>
      <w:proofErr w:type="gramStart"/>
      <w:r>
        <w:t>倩</w:t>
      </w:r>
      <w:proofErr w:type="gramEnd"/>
      <w:r>
        <w:t>，</w:t>
      </w:r>
      <w:proofErr w:type="gramStart"/>
      <w:r>
        <w:t>郭</w:t>
      </w:r>
      <w:proofErr w:type="gramEnd"/>
      <w:r>
        <w:t xml:space="preserve"> </w:t>
      </w:r>
      <w:r>
        <w:t>琦，李</w:t>
      </w:r>
      <w:r>
        <w:t xml:space="preserve"> </w:t>
      </w:r>
      <w:r>
        <w:t>洁</w:t>
      </w:r>
      <w:r>
        <w:t xml:space="preserve"> </w:t>
      </w:r>
    </w:p>
    <w:p w14:paraId="4CBA95F3" w14:textId="77777777" w:rsidR="004B1070" w:rsidRDefault="004B1070" w:rsidP="004B1070"/>
    <w:p w14:paraId="77AE4920" w14:textId="77777777" w:rsidR="004B1070" w:rsidRDefault="004B1070" w:rsidP="004B1070"/>
    <w:p w14:paraId="44553101" w14:textId="2D177347" w:rsidR="004B1070" w:rsidRDefault="004B1070" w:rsidP="004B1070">
      <w:r>
        <w:t>（唐山</w:t>
      </w:r>
      <w:proofErr w:type="gramStart"/>
      <w:r>
        <w:t>弘慈医院</w:t>
      </w:r>
      <w:proofErr w:type="gramEnd"/>
      <w:r>
        <w:t>口腔科</w:t>
      </w:r>
      <w:r>
        <w:t xml:space="preserve"> </w:t>
      </w:r>
      <w:r>
        <w:t>河北</w:t>
      </w:r>
      <w:r>
        <w:t xml:space="preserve"> </w:t>
      </w:r>
      <w:r>
        <w:t>唐山</w:t>
      </w:r>
      <w:r>
        <w:t xml:space="preserve"> 063000</w:t>
      </w:r>
      <w:r>
        <w:t>）</w:t>
      </w:r>
      <w:r>
        <w:t xml:space="preserve"> </w:t>
      </w:r>
    </w:p>
    <w:p w14:paraId="759C4F8E" w14:textId="77777777" w:rsidR="004B1070" w:rsidRDefault="004B1070" w:rsidP="004B1070"/>
    <w:p w14:paraId="000C9144" w14:textId="1345BE25" w:rsidR="004B1070" w:rsidRDefault="004B1070" w:rsidP="004B1070">
      <w:r>
        <w:t>[</w:t>
      </w:r>
      <w:r>
        <w:t>摘要</w:t>
      </w:r>
      <w:r>
        <w:t>]</w:t>
      </w:r>
      <w:r>
        <w:t>目的：探讨高强纤维牙周夹板联合甲硝唑药膜对老年中重度牙周病牙周健康状况及牙齿美观满意度的影响。方法：</w:t>
      </w:r>
      <w:r>
        <w:t xml:space="preserve"> </w:t>
      </w:r>
      <w:r>
        <w:t>选取</w:t>
      </w:r>
      <w:r>
        <w:t>2019</w:t>
      </w:r>
      <w:r>
        <w:t>年</w:t>
      </w:r>
      <w:r>
        <w:t>6</w:t>
      </w:r>
      <w:r>
        <w:t>月</w:t>
      </w:r>
      <w:r>
        <w:t>-2021</w:t>
      </w:r>
      <w:r>
        <w:t>年</w:t>
      </w:r>
      <w:r>
        <w:t>12</w:t>
      </w:r>
      <w:r>
        <w:t>月笔者医院老年中重度牙周病患者</w:t>
      </w:r>
      <w:r>
        <w:t>112</w:t>
      </w:r>
      <w:r>
        <w:t>例进行前瞻性随机对照研究，根据治疗方法的不同分为</w:t>
      </w:r>
      <w:proofErr w:type="gramStart"/>
      <w:r>
        <w:t>研</w:t>
      </w:r>
      <w:proofErr w:type="gramEnd"/>
      <w:r>
        <w:t xml:space="preserve"> </w:t>
      </w:r>
      <w:r>
        <w:t>究组（</w:t>
      </w:r>
      <w:r>
        <w:t>n=56</w:t>
      </w:r>
      <w:r>
        <w:t>）、对照组（</w:t>
      </w:r>
      <w:r>
        <w:t>n=56</w:t>
      </w:r>
      <w:r>
        <w:t>）。两组均给予基础治疗，在此基础上，对照</w:t>
      </w:r>
      <w:proofErr w:type="gramStart"/>
      <w:r>
        <w:t>组予以</w:t>
      </w:r>
      <w:proofErr w:type="gramEnd"/>
      <w:r>
        <w:t>尼龙丝结扎，每周复诊</w:t>
      </w:r>
      <w:r>
        <w:t>1</w:t>
      </w:r>
      <w:r>
        <w:t>次，同时联合</w:t>
      </w:r>
      <w:r>
        <w:t xml:space="preserve"> </w:t>
      </w:r>
      <w:r>
        <w:t>甲硝唑药膜治疗；研究</w:t>
      </w:r>
      <w:proofErr w:type="gramStart"/>
      <w:r>
        <w:t>组予以</w:t>
      </w:r>
      <w:proofErr w:type="gramEnd"/>
      <w:r>
        <w:t>高强纤维牙周夹板治疗，每周复诊</w:t>
      </w:r>
      <w:r>
        <w:t>1</w:t>
      </w:r>
      <w:r>
        <w:t>次，在牙周袋内置入甲硝唑药膜。治疗后随访</w:t>
      </w:r>
      <w:r>
        <w:t>3</w:t>
      </w:r>
      <w:r>
        <w:t>个月，</w:t>
      </w:r>
      <w:r>
        <w:t xml:space="preserve"> </w:t>
      </w:r>
      <w:r>
        <w:t>比较两组疗效、牙齿美观满意度与治疗前、治疗后</w:t>
      </w:r>
      <w:r>
        <w:t>3</w:t>
      </w:r>
      <w:r>
        <w:t>个</w:t>
      </w:r>
      <w:proofErr w:type="gramStart"/>
      <w:r>
        <w:t>月牙周指标</w:t>
      </w:r>
      <w:proofErr w:type="gramEnd"/>
      <w:r>
        <w:t>[</w:t>
      </w:r>
      <w:r>
        <w:t>牙周袋深度（</w:t>
      </w:r>
      <w:r>
        <w:t>Periodontal pocket depth, PD</w:t>
      </w:r>
      <w:r>
        <w:t>）、</w:t>
      </w:r>
      <w:r>
        <w:t xml:space="preserve"> </w:t>
      </w:r>
      <w:r>
        <w:t>牙龈出血指数（</w:t>
      </w:r>
      <w:r>
        <w:t>Sulcus bleeding index, SBI</w:t>
      </w:r>
      <w:r>
        <w:t>）、菌斑指数（</w:t>
      </w:r>
      <w:r>
        <w:t>Plaque index, PLI</w:t>
      </w:r>
      <w:r>
        <w:t>）</w:t>
      </w:r>
      <w:r>
        <w:t>]</w:t>
      </w:r>
      <w:r>
        <w:t>、龈沟液炎症因子指标</w:t>
      </w:r>
      <w:r>
        <w:t>[</w:t>
      </w:r>
      <w:r>
        <w:t>降钙素原</w:t>
      </w:r>
      <w:r>
        <w:t xml:space="preserve"> </w:t>
      </w:r>
      <w:r>
        <w:t>（</w:t>
      </w:r>
      <w:proofErr w:type="spellStart"/>
      <w:r>
        <w:t>Procaicltonin</w:t>
      </w:r>
      <w:proofErr w:type="spellEnd"/>
      <w:r>
        <w:t>, PCT</w:t>
      </w:r>
      <w:r>
        <w:t>）、白介素</w:t>
      </w:r>
      <w:r>
        <w:t>-1β</w:t>
      </w:r>
      <w:r>
        <w:t>（</w:t>
      </w:r>
      <w:r>
        <w:t>Interleukin-1β, IL-1β</w:t>
      </w:r>
      <w:r>
        <w:t>）、肿瘤坏死因子</w:t>
      </w:r>
      <w:r>
        <w:t>-α</w:t>
      </w:r>
      <w:r>
        <w:t>（</w:t>
      </w:r>
      <w:r>
        <w:t>Tumor necrosis factor-α, TNF-α</w:t>
      </w:r>
      <w:r>
        <w:t>）</w:t>
      </w:r>
      <w:r>
        <w:t>]</w:t>
      </w:r>
      <w:r>
        <w:t>水平、咀嚼功能（咀嚼效率、咬合力）、老年人口腔健康生活质量评分（</w:t>
      </w:r>
      <w:r>
        <w:t>Geriatric oral health assessment index, GOHAI</w:t>
      </w:r>
      <w:r>
        <w:t>）。结果：治疗后</w:t>
      </w:r>
      <w:r>
        <w:t>3</w:t>
      </w:r>
      <w:r>
        <w:t>个月，研究组总有效率（</w:t>
      </w:r>
      <w:r>
        <w:t>94.64%</w:t>
      </w:r>
      <w:r>
        <w:t>）高于对照组（</w:t>
      </w:r>
      <w:r>
        <w:t>82.14%</w:t>
      </w:r>
      <w:r>
        <w:t>）（</w:t>
      </w:r>
      <w:r>
        <w:t>P</w:t>
      </w:r>
      <w:r>
        <w:t>＜</w:t>
      </w:r>
      <w:r>
        <w:t>0.05</w:t>
      </w:r>
      <w:r>
        <w:t>）；两组</w:t>
      </w:r>
      <w:r>
        <w:t>PD</w:t>
      </w:r>
      <w:r>
        <w:t>、</w:t>
      </w:r>
      <w:r>
        <w:t>SBI</w:t>
      </w:r>
      <w:r>
        <w:t>、</w:t>
      </w:r>
      <w:r>
        <w:t xml:space="preserve">PLI </w:t>
      </w:r>
      <w:r>
        <w:t>水平均较治疗前降低，且研究组低于对照组（</w:t>
      </w:r>
      <w:r>
        <w:t>P</w:t>
      </w:r>
      <w:r>
        <w:t>＜</w:t>
      </w:r>
      <w:r>
        <w:t>0.05</w:t>
      </w:r>
      <w:r>
        <w:t>）；两组龈沟液</w:t>
      </w:r>
      <w:r>
        <w:t>PCT</w:t>
      </w:r>
      <w:r>
        <w:t>、</w:t>
      </w:r>
      <w:r>
        <w:t>IL-1β</w:t>
      </w:r>
      <w:r>
        <w:t>、</w:t>
      </w:r>
      <w:r>
        <w:t>TNF-α</w:t>
      </w:r>
      <w:r>
        <w:t>水平均较治疗前降低，且研究组</w:t>
      </w:r>
      <w:r>
        <w:t xml:space="preserve"> </w:t>
      </w:r>
      <w:r>
        <w:t>低于对照组（</w:t>
      </w:r>
      <w:r>
        <w:t>P</w:t>
      </w:r>
      <w:r>
        <w:t>＜</w:t>
      </w:r>
      <w:r>
        <w:t>0.05</w:t>
      </w:r>
      <w:r>
        <w:t>）。研究组咀嚼效率、咬合力均高于对照组（</w:t>
      </w:r>
      <w:r>
        <w:t>P</w:t>
      </w:r>
      <w:r>
        <w:t>＜</w:t>
      </w:r>
      <w:r>
        <w:t>0.05</w:t>
      </w:r>
      <w:r>
        <w:t>）；研究组</w:t>
      </w:r>
      <w:r>
        <w:t>GOHAI</w:t>
      </w:r>
      <w:r>
        <w:t>评分低于对照组（</w:t>
      </w:r>
      <w:r>
        <w:t>P</w:t>
      </w:r>
      <w:r>
        <w:t>＜</w:t>
      </w:r>
      <w:r>
        <w:t>0.05</w:t>
      </w:r>
      <w:r>
        <w:t>）；</w:t>
      </w:r>
      <w:r>
        <w:t xml:space="preserve"> </w:t>
      </w:r>
      <w:r>
        <w:t>研究组牙齿美观满意度高于对照组（</w:t>
      </w:r>
      <w:r>
        <w:t>P</w:t>
      </w:r>
      <w:r>
        <w:t>＜</w:t>
      </w:r>
      <w:r>
        <w:t>0.05</w:t>
      </w:r>
      <w:r>
        <w:t>）。结论：高强纤维牙周夹板联合甲硝唑药膜治疗老年中重度牙周病，效果显</w:t>
      </w:r>
      <w:r>
        <w:t xml:space="preserve"> </w:t>
      </w:r>
      <w:r>
        <w:t>著，可有效降低牙周炎症反应，改善牙周状况，增强咀嚼功能，从而进一步提高口腔健康质量，提升牙齿美观满意度。</w:t>
      </w:r>
      <w:r>
        <w:t xml:space="preserve"> </w:t>
      </w:r>
    </w:p>
    <w:p w14:paraId="5541C4C0" w14:textId="77777777" w:rsidR="004B1070" w:rsidRDefault="004B1070" w:rsidP="004B1070"/>
    <w:p w14:paraId="065F547D" w14:textId="7D2D7DD8" w:rsidR="004B1070" w:rsidRDefault="004B1070" w:rsidP="004B1070">
      <w:r>
        <w:t>[</w:t>
      </w:r>
      <w:r>
        <w:t>关键词</w:t>
      </w:r>
      <w:r>
        <w:t>]</w:t>
      </w:r>
      <w:r>
        <w:t>高强纤维牙周夹板；甲硝唑药膜；牙周病；牙周健康状况；炎症反应；咀嚼功能</w:t>
      </w:r>
      <w:r>
        <w:t xml:space="preserve"> </w:t>
      </w:r>
    </w:p>
    <w:p w14:paraId="2F856C39" w14:textId="77777777" w:rsidR="004B1070" w:rsidRDefault="004B1070" w:rsidP="004B1070"/>
    <w:p w14:paraId="618F1563" w14:textId="77777777" w:rsidR="004B1070" w:rsidRDefault="004B1070" w:rsidP="004B1070">
      <w:r>
        <w:t>[</w:t>
      </w:r>
      <w:r>
        <w:t>中图分类号</w:t>
      </w:r>
      <w:r>
        <w:t>]R781.4 [</w:t>
      </w:r>
      <w:r>
        <w:t>文献标志码</w:t>
      </w:r>
      <w:r>
        <w:t>]A [</w:t>
      </w:r>
      <w:r>
        <w:t>文章编号</w:t>
      </w:r>
      <w:r>
        <w:t>]1008-6455</w:t>
      </w:r>
      <w:r>
        <w:t>（</w:t>
      </w:r>
      <w:r>
        <w:t>2024</w:t>
      </w:r>
      <w:r>
        <w:t>）</w:t>
      </w:r>
      <w:r>
        <w:t xml:space="preserve">04-0152-05 </w:t>
      </w:r>
    </w:p>
    <w:p w14:paraId="7A375C09" w14:textId="77777777" w:rsidR="004B1070" w:rsidRDefault="004B1070" w:rsidP="004B1070"/>
    <w:p w14:paraId="58A7E464" w14:textId="77777777" w:rsidR="004B1070" w:rsidRDefault="004B1070" w:rsidP="004B1070">
      <w:r>
        <w:t xml:space="preserve">Analysis of Therapeutic Effect of High Strength Fiber Periodontal Splint Combined with Metronidazole Film on Senile Moderate and Severe Periodontal Disease </w:t>
      </w:r>
    </w:p>
    <w:p w14:paraId="4292945A" w14:textId="77777777" w:rsidR="004B1070" w:rsidRDefault="004B1070" w:rsidP="004B1070"/>
    <w:p w14:paraId="1B0FB3FE" w14:textId="3BF1B3FC" w:rsidR="004B1070" w:rsidRDefault="004B1070" w:rsidP="004B1070">
      <w:r>
        <w:t>WANG Qian, GUO Qi, LI Jie</w:t>
      </w:r>
    </w:p>
    <w:p w14:paraId="6932177B" w14:textId="77777777" w:rsidR="004B1070" w:rsidRDefault="004B1070" w:rsidP="004B1070"/>
    <w:p w14:paraId="072E18E2" w14:textId="4478CBE0" w:rsidR="004B1070" w:rsidRDefault="004B1070" w:rsidP="004B1070">
      <w:r>
        <w:t xml:space="preserve"> </w:t>
      </w:r>
      <w:proofErr w:type="gramStart"/>
      <w:r>
        <w:t>( Department</w:t>
      </w:r>
      <w:proofErr w:type="gramEnd"/>
      <w:r>
        <w:t xml:space="preserve"> of Stomatology, Tangshan </w:t>
      </w:r>
      <w:proofErr w:type="spellStart"/>
      <w:r>
        <w:t>Hongci</w:t>
      </w:r>
      <w:proofErr w:type="spellEnd"/>
      <w:r>
        <w:t xml:space="preserve"> Hospital, Tangshan 063000, Hebei, China ) </w:t>
      </w:r>
    </w:p>
    <w:p w14:paraId="77122938" w14:textId="77777777" w:rsidR="004B1070" w:rsidRDefault="004B1070" w:rsidP="004B1070"/>
    <w:p w14:paraId="0D7766BC" w14:textId="0E7D46CF" w:rsidR="004B1070" w:rsidRDefault="004B1070" w:rsidP="004B1070">
      <w:r>
        <w:t xml:space="preserve">Abstract: Objective To investigate the eff </w:t>
      </w:r>
      <w:proofErr w:type="spellStart"/>
      <w:r>
        <w:t>ect</w:t>
      </w:r>
      <w:proofErr w:type="spellEnd"/>
      <w:r>
        <w:t xml:space="preserve"> of high-strength fi </w:t>
      </w:r>
      <w:proofErr w:type="spellStart"/>
      <w:r>
        <w:t>ber</w:t>
      </w:r>
      <w:proofErr w:type="spellEnd"/>
      <w:r>
        <w:t xml:space="preserve"> periodontal splint combined with metronidazole fi </w:t>
      </w:r>
      <w:proofErr w:type="spellStart"/>
      <w:r>
        <w:t>lm</w:t>
      </w:r>
      <w:proofErr w:type="spellEnd"/>
      <w:r>
        <w:t xml:space="preserve"> on the periodontal health status and tooth aesthetic satisfaction of elderly patients with moderate to severe periodontal disease. Methods Elderly patients with moderate to severe periodontal disease in the author's hospital from June 2019 to December 2021 were selected for a prospective randomized controlled study, according to diff </w:t>
      </w:r>
      <w:proofErr w:type="spellStart"/>
      <w:r>
        <w:t>erent</w:t>
      </w:r>
      <w:proofErr w:type="spellEnd"/>
      <w:r>
        <w:t xml:space="preserve"> treatment methods, they were divided into study group (n=56) and control group (n=56). Both groups were given basic treatment, on the basis of which the control group was treated with nylon ligatures once a week at follow-up visits and metronidazole film, while the study group was treated with high-strength fi </w:t>
      </w:r>
      <w:proofErr w:type="spellStart"/>
      <w:r>
        <w:lastRenderedPageBreak/>
        <w:t>bre</w:t>
      </w:r>
      <w:proofErr w:type="spellEnd"/>
      <w:r>
        <w:t xml:space="preserve"> periodontal splints combined with metronidazole fi </w:t>
      </w:r>
      <w:proofErr w:type="spellStart"/>
      <w:r>
        <w:t>lm</w:t>
      </w:r>
      <w:proofErr w:type="spellEnd"/>
      <w:r>
        <w:t xml:space="preserve">, and after treatment with high-strength fi </w:t>
      </w:r>
      <w:proofErr w:type="spellStart"/>
      <w:r>
        <w:t>bre</w:t>
      </w:r>
      <w:proofErr w:type="spellEnd"/>
      <w:r>
        <w:t xml:space="preserve"> periodontal splints, metronidazole fi </w:t>
      </w:r>
      <w:proofErr w:type="spellStart"/>
      <w:r>
        <w:t>lm</w:t>
      </w:r>
      <w:proofErr w:type="spellEnd"/>
      <w:r>
        <w:t xml:space="preserve"> was placed in the periodontal pocket once a week at follow-up visits. After treatment, followed up for 3 months after treatment, the efficacy, tooth aesthetic satisfaction and periodontal index [periodontal pocket depth (PD), sulcus bleeding index (SBI), plaque index (PLI)] before and 3 months after treatment, gingival crevicular fluid inflammation factor indexes [procalcitonin (PCT), IL-1β, TNF-α] levels, chewing function (chewing </w:t>
      </w:r>
      <w:proofErr w:type="spellStart"/>
      <w:r>
        <w:t>effi</w:t>
      </w:r>
      <w:proofErr w:type="spellEnd"/>
      <w:r>
        <w:t xml:space="preserve"> </w:t>
      </w:r>
      <w:proofErr w:type="spellStart"/>
      <w:r>
        <w:t>ciency</w:t>
      </w:r>
      <w:proofErr w:type="spellEnd"/>
      <w:r>
        <w:t xml:space="preserve">, bite force) and oral health quality of life score (GOHAI) of the elderly were compared between the two groups. Results Three months after treatment, the total eff </w:t>
      </w:r>
      <w:proofErr w:type="spellStart"/>
      <w:r>
        <w:t>ective</w:t>
      </w:r>
      <w:proofErr w:type="spellEnd"/>
      <w:r>
        <w:t xml:space="preserve"> rate of the study group (94.64%) was higher than that of the control group (82.14%) (P</w:t>
      </w:r>
      <w:r>
        <w:t>＜</w:t>
      </w:r>
      <w:r>
        <w:t>0.05). The levels of PD, SBI and PLI in both groups were lower than before treatment, and the study group was lower than the control group (P</w:t>
      </w:r>
      <w:r>
        <w:t>＜</w:t>
      </w:r>
      <w:r>
        <w:t xml:space="preserve">0.05). The levels of PCT, IL-1β and TNF-α in gingival crevicular </w:t>
      </w:r>
      <w:proofErr w:type="spellStart"/>
      <w:r>
        <w:t>fl</w:t>
      </w:r>
      <w:proofErr w:type="spellEnd"/>
      <w:r>
        <w:t xml:space="preserve"> </w:t>
      </w:r>
      <w:proofErr w:type="spellStart"/>
      <w:r>
        <w:t>uid</w:t>
      </w:r>
      <w:proofErr w:type="spellEnd"/>
      <w:r>
        <w:t xml:space="preserve"> in both groups were lower than before treatment, and the levels in study group were lower than those in control group (P</w:t>
      </w:r>
      <w:r>
        <w:t>＜</w:t>
      </w:r>
      <w:r>
        <w:t xml:space="preserve">0.05). The masticatory </w:t>
      </w:r>
      <w:proofErr w:type="spellStart"/>
      <w:r>
        <w:t>effi</w:t>
      </w:r>
      <w:proofErr w:type="spellEnd"/>
      <w:r>
        <w:t xml:space="preserve"> </w:t>
      </w:r>
      <w:proofErr w:type="spellStart"/>
      <w:r>
        <w:t>ciency</w:t>
      </w:r>
      <w:proofErr w:type="spellEnd"/>
      <w:r>
        <w:t xml:space="preserve"> and biting force of the study group were higher than those of the control group (P</w:t>
      </w:r>
      <w:r>
        <w:t>＜</w:t>
      </w:r>
      <w:r>
        <w:t>0.05). The GOHAI score of the study group was lower than that of the control group (P</w:t>
      </w:r>
      <w:r>
        <w:t>＜</w:t>
      </w:r>
      <w:r>
        <w:t>0.05). The satisfaction of dental aesthetics in the study</w:t>
      </w:r>
      <w:r>
        <w:rPr>
          <w:rFonts w:hint="eastAsia"/>
        </w:rPr>
        <w:t xml:space="preserve"> </w:t>
      </w:r>
      <w:r>
        <w:t>group was higher than that in the control group (P</w:t>
      </w:r>
      <w:r>
        <w:t>＜</w:t>
      </w:r>
      <w:r>
        <w:t xml:space="preserve">0.05). Conclusion The combination of high-strength fi </w:t>
      </w:r>
      <w:proofErr w:type="spellStart"/>
      <w:r>
        <w:t>ber</w:t>
      </w:r>
      <w:proofErr w:type="spellEnd"/>
      <w:r>
        <w:t xml:space="preserve"> periodontal splint and metronidazole fi </w:t>
      </w:r>
      <w:proofErr w:type="spellStart"/>
      <w:r>
        <w:t>lm</w:t>
      </w:r>
      <w:proofErr w:type="spellEnd"/>
      <w:r>
        <w:t xml:space="preserve"> for the fi </w:t>
      </w:r>
      <w:proofErr w:type="spellStart"/>
      <w:r>
        <w:t>rst</w:t>
      </w:r>
      <w:proofErr w:type="spellEnd"/>
      <w:r>
        <w:t xml:space="preserve"> time in the treatment of elderly patients with moderate and severe periodontal disease has a significant effect, which can effectively reduce the periodontal inflammation and improve the periodontal status, and enhance the chewing function, thereby further improving the quality of oral health and improving the satisfaction of dental aesthetics. </w:t>
      </w:r>
    </w:p>
    <w:p w14:paraId="5B9DE872" w14:textId="77777777" w:rsidR="004B1070" w:rsidRDefault="004B1070" w:rsidP="004B1070"/>
    <w:p w14:paraId="2BF5B9C3" w14:textId="38ACE36F" w:rsidR="004F5ADE" w:rsidRPr="004B1070" w:rsidRDefault="004B1070" w:rsidP="004B1070">
      <w:pPr>
        <w:rPr>
          <w:rFonts w:hint="eastAsia"/>
        </w:rPr>
      </w:pPr>
      <w:r>
        <w:t xml:space="preserve">Key words: high-strength fiber periodontal splint; metronidazole film; periodontal disease; periodontal health status; </w:t>
      </w:r>
      <w:proofErr w:type="spellStart"/>
      <w:r>
        <w:t>infl</w:t>
      </w:r>
      <w:proofErr w:type="spellEnd"/>
      <w:r>
        <w:t xml:space="preserve"> </w:t>
      </w:r>
      <w:proofErr w:type="spellStart"/>
      <w:r>
        <w:t>ammatory</w:t>
      </w:r>
      <w:proofErr w:type="spellEnd"/>
      <w:r>
        <w:t xml:space="preserve"> response; chewing function</w:t>
      </w:r>
    </w:p>
    <w:sectPr w:rsidR="004F5ADE" w:rsidRPr="004B107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86AF2" w14:textId="77777777" w:rsidR="008525F7" w:rsidRDefault="008525F7" w:rsidP="003724AB">
      <w:r>
        <w:separator/>
      </w:r>
    </w:p>
  </w:endnote>
  <w:endnote w:type="continuationSeparator" w:id="0">
    <w:p w14:paraId="01A27671" w14:textId="77777777" w:rsidR="008525F7" w:rsidRDefault="008525F7"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2AFA391-56BB-4944-AE39-67592B1F8C8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B8B44" w14:textId="77777777" w:rsidR="008525F7" w:rsidRDefault="008525F7" w:rsidP="003724AB">
      <w:r>
        <w:separator/>
      </w:r>
    </w:p>
  </w:footnote>
  <w:footnote w:type="continuationSeparator" w:id="0">
    <w:p w14:paraId="643C4F1E" w14:textId="77777777" w:rsidR="008525F7" w:rsidRDefault="008525F7"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525F7"/>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26328</TotalTime>
  <Pages>2</Pages>
  <Words>625</Words>
  <Characters>3568</Characters>
  <Application>Microsoft Office Word</Application>
  <DocSecurity>0</DocSecurity>
  <Lines>29</Lines>
  <Paragraphs>8</Paragraphs>
  <ScaleCrop>false</ScaleCrop>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2974</cp:revision>
  <dcterms:created xsi:type="dcterms:W3CDTF">2022-07-04T07:48:00Z</dcterms:created>
  <dcterms:modified xsi:type="dcterms:W3CDTF">2024-04-19T09:06:00Z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