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0B6D6" w14:textId="77777777" w:rsidR="00F55D3B" w:rsidRDefault="00F55D3B" w:rsidP="00F55D3B">
      <w:r>
        <w:t>鸢尾素调节</w:t>
      </w:r>
      <w:r>
        <w:t>JAK2/STAT3</w:t>
      </w:r>
      <w:r>
        <w:t>信号通路对牙周炎大鼠牙周组织损伤的影响</w:t>
      </w:r>
      <w:r>
        <w:t xml:space="preserve"> </w:t>
      </w:r>
    </w:p>
    <w:p w14:paraId="56E2486F" w14:textId="77777777" w:rsidR="00F55D3B" w:rsidRDefault="00F55D3B" w:rsidP="00F55D3B"/>
    <w:p w14:paraId="0C8B03BB" w14:textId="3632D356" w:rsidR="00F55D3B" w:rsidRDefault="00F55D3B" w:rsidP="00F55D3B">
      <w:r>
        <w:t>田梦婷，赵景瑶，刘</w:t>
      </w:r>
      <w:r>
        <w:t xml:space="preserve"> </w:t>
      </w:r>
      <w:r>
        <w:t>晶</w:t>
      </w:r>
      <w:r>
        <w:t xml:space="preserve"> </w:t>
      </w:r>
    </w:p>
    <w:p w14:paraId="3A053179" w14:textId="77777777" w:rsidR="00F55D3B" w:rsidRDefault="00F55D3B" w:rsidP="00F55D3B"/>
    <w:p w14:paraId="28659413" w14:textId="4C1AC505" w:rsidR="00F55D3B" w:rsidRDefault="00F55D3B" w:rsidP="00F55D3B">
      <w:r>
        <w:t>[</w:t>
      </w:r>
      <w:r>
        <w:t>新疆医科大学第一附属医院（附属口腔医院）口腔修复</w:t>
      </w:r>
      <w:proofErr w:type="gramStart"/>
      <w:r>
        <w:t>种植科</w:t>
      </w:r>
      <w:proofErr w:type="gramEnd"/>
      <w:r>
        <w:t>/</w:t>
      </w:r>
      <w:r>
        <w:t>新疆维吾尔自治区口腔医学研究所</w:t>
      </w:r>
      <w:r>
        <w:t xml:space="preserve"> </w:t>
      </w:r>
      <w:r>
        <w:t>新疆</w:t>
      </w:r>
      <w:r>
        <w:t xml:space="preserve"> </w:t>
      </w:r>
      <w:r>
        <w:t>乌鲁木齐</w:t>
      </w:r>
      <w:r>
        <w:t xml:space="preserve"> 830000] </w:t>
      </w:r>
    </w:p>
    <w:p w14:paraId="631DCD6C" w14:textId="77777777" w:rsidR="00F55D3B" w:rsidRDefault="00F55D3B" w:rsidP="00F55D3B"/>
    <w:p w14:paraId="3DE22194" w14:textId="77777777" w:rsidR="00F55D3B" w:rsidRDefault="00F55D3B" w:rsidP="00F55D3B">
      <w:r>
        <w:t>[</w:t>
      </w:r>
      <w:r>
        <w:t>摘要</w:t>
      </w:r>
      <w:r>
        <w:t>]</w:t>
      </w:r>
      <w:r>
        <w:t>目的：探讨鸢尾素调节</w:t>
      </w:r>
      <w:r>
        <w:t>Janus</w:t>
      </w:r>
      <w:r>
        <w:t>蛋白酪氨酸激酶</w:t>
      </w:r>
      <w:r>
        <w:t>2</w:t>
      </w:r>
      <w:r>
        <w:t>（</w:t>
      </w:r>
      <w:r>
        <w:t>Janus protein tyrosine kinase 2</w:t>
      </w:r>
      <w:r>
        <w:t>，</w:t>
      </w:r>
      <w:r>
        <w:t>JAK2</w:t>
      </w:r>
      <w:r>
        <w:t>）</w:t>
      </w:r>
      <w:r>
        <w:t>/</w:t>
      </w:r>
      <w:r>
        <w:t>信号转导和转录激活子</w:t>
      </w:r>
      <w:r>
        <w:t xml:space="preserve"> 3</w:t>
      </w:r>
      <w:r>
        <w:t>（</w:t>
      </w:r>
      <w:r>
        <w:t>Signal transduction and activator of transcription 3</w:t>
      </w:r>
      <w:r>
        <w:t>，</w:t>
      </w:r>
      <w:r>
        <w:t>STAT3</w:t>
      </w:r>
      <w:r>
        <w:t>）信号通路对牙周炎大鼠牙周组织损伤的影响。方</w:t>
      </w:r>
      <w:r>
        <w:t xml:space="preserve"> </w:t>
      </w:r>
      <w:r>
        <w:t>法：通过结扎和接种牙龈卟啉单胞菌液建立牙周炎大鼠模型，将大鼠随机分为模型组、鸢尾素低（鸢尾素</w:t>
      </w:r>
      <w:r>
        <w:t>-L</w:t>
      </w:r>
      <w:r>
        <w:t>，</w:t>
      </w:r>
      <w:r>
        <w:t>50 mg/kg</w:t>
      </w:r>
      <w:r>
        <w:t>）、</w:t>
      </w:r>
      <w:r>
        <w:t xml:space="preserve"> </w:t>
      </w:r>
      <w:r>
        <w:t>中（鸢尾素</w:t>
      </w:r>
      <w:r>
        <w:t>-M</w:t>
      </w:r>
      <w:r>
        <w:t>，</w:t>
      </w:r>
      <w:r>
        <w:t>100 mg/kg</w:t>
      </w:r>
      <w:r>
        <w:t>）、高剂量（鸢尾素</w:t>
      </w:r>
      <w:r>
        <w:t>-H</w:t>
      </w:r>
      <w:r>
        <w:t>，</w:t>
      </w:r>
      <w:r>
        <w:t>200 mg/kg</w:t>
      </w:r>
      <w:r>
        <w:t>）组、鸢尾素</w:t>
      </w:r>
      <w:r>
        <w:t>-H+</w:t>
      </w:r>
      <w:r>
        <w:t>激活剂（</w:t>
      </w:r>
      <w:r>
        <w:t>200 mg/kg</w:t>
      </w:r>
      <w:r>
        <w:t>鸢尾素</w:t>
      </w:r>
      <w:r>
        <w:t>+2 mg/kg</w:t>
      </w:r>
      <w:r>
        <w:t>香豆霉素）</w:t>
      </w:r>
      <w:r>
        <w:t xml:space="preserve"> </w:t>
      </w:r>
      <w:r>
        <w:t>组，每组</w:t>
      </w:r>
      <w:r>
        <w:t>10</w:t>
      </w:r>
      <w:r>
        <w:t>只，并以注射等体积生理盐水的正常大鼠对照组。干预结束后，对大鼠牙龈出血指数、牙齿松动度评分；牙槽骨</w:t>
      </w:r>
      <w:r>
        <w:t xml:space="preserve"> </w:t>
      </w:r>
      <w:r>
        <w:t>吸收、肿瘤坏死因子</w:t>
      </w:r>
      <w:r>
        <w:t>-α</w:t>
      </w:r>
      <w:r>
        <w:t>（</w:t>
      </w:r>
      <w:r>
        <w:t>Tumor necrosis factor-α</w:t>
      </w:r>
      <w:r>
        <w:t>，</w:t>
      </w:r>
      <w:r>
        <w:t>TNF-α</w:t>
      </w:r>
      <w:r>
        <w:t>）、白细胞介素（</w:t>
      </w:r>
      <w:r>
        <w:t>Interleukin</w:t>
      </w:r>
      <w:r>
        <w:t>，</w:t>
      </w:r>
      <w:r>
        <w:t>IL</w:t>
      </w:r>
      <w:r>
        <w:t>）</w:t>
      </w:r>
      <w:r>
        <w:t>-6</w:t>
      </w:r>
      <w:r>
        <w:t>、</w:t>
      </w:r>
      <w:r>
        <w:t>IL-1β</w:t>
      </w:r>
      <w:r>
        <w:t>以及丙二醛</w:t>
      </w:r>
      <w:r>
        <w:t xml:space="preserve"> </w:t>
      </w:r>
      <w:r>
        <w:t>（</w:t>
      </w:r>
      <w:r>
        <w:t>Malondialdehyde</w:t>
      </w:r>
      <w:r>
        <w:t>，</w:t>
      </w:r>
      <w:r>
        <w:t>MDA</w:t>
      </w:r>
      <w:r>
        <w:t>）、超氧化物歧化酶（</w:t>
      </w:r>
      <w:r>
        <w:t>Superoxide dismutase</w:t>
      </w:r>
      <w:r>
        <w:t>，</w:t>
      </w:r>
      <w:r>
        <w:t>SOD</w:t>
      </w:r>
      <w:r>
        <w:t>）水平分别以</w:t>
      </w:r>
      <w:r>
        <w:t>Micro-CT</w:t>
      </w:r>
      <w:r>
        <w:t>试剂盒检测；</w:t>
      </w:r>
      <w:r>
        <w:t>HE</w:t>
      </w:r>
      <w:r>
        <w:t>检测牙</w:t>
      </w:r>
      <w:r>
        <w:t xml:space="preserve"> </w:t>
      </w:r>
      <w:r>
        <w:t>周组织病理学变化；</w:t>
      </w:r>
      <w:r>
        <w:t>Western blot</w:t>
      </w:r>
      <w:r>
        <w:t>检测</w:t>
      </w:r>
      <w:r>
        <w:t>JAK2</w:t>
      </w:r>
      <w:r>
        <w:t>、</w:t>
      </w:r>
      <w:r>
        <w:t>STAT3</w:t>
      </w:r>
      <w:r>
        <w:t>、</w:t>
      </w:r>
      <w:r>
        <w:t>p-JAK2</w:t>
      </w:r>
      <w:r>
        <w:t>、</w:t>
      </w:r>
      <w:r>
        <w:t>p-STAT3</w:t>
      </w:r>
      <w:r>
        <w:t>蛋白表达。结果：与对照组相比，</w:t>
      </w:r>
      <w:proofErr w:type="gramStart"/>
      <w:r>
        <w:t>模型组大鼠牙周</w:t>
      </w:r>
      <w:proofErr w:type="gramEnd"/>
      <w:r>
        <w:t xml:space="preserve"> </w:t>
      </w:r>
      <w:r>
        <w:t>组织被破坏，炎性浸润严重，牙龈出血指数、牙齿松动度评分、牙槽骨吸收、</w:t>
      </w:r>
      <w:r>
        <w:t>TNF-α</w:t>
      </w:r>
      <w:r>
        <w:t>、</w:t>
      </w:r>
      <w:r>
        <w:t>IL-6</w:t>
      </w:r>
      <w:r>
        <w:t>、</w:t>
      </w:r>
      <w:r>
        <w:t>IL-1β</w:t>
      </w:r>
      <w:r>
        <w:t>、</w:t>
      </w:r>
      <w:r>
        <w:t>MDA</w:t>
      </w:r>
      <w:r>
        <w:t>水平、</w:t>
      </w:r>
      <w:r>
        <w:t>p-JAK2/ JAK2</w:t>
      </w:r>
      <w:r>
        <w:t>、</w:t>
      </w:r>
      <w:r>
        <w:t>p-STAT3/STAT3</w:t>
      </w:r>
      <w:r>
        <w:t>表达显著增加，</w:t>
      </w:r>
      <w:r>
        <w:t>SOD</w:t>
      </w:r>
      <w:r>
        <w:t>水平显著降低（</w:t>
      </w:r>
      <w:r>
        <w:t>P</w:t>
      </w:r>
      <w:r>
        <w:t>＜</w:t>
      </w:r>
      <w:r>
        <w:t>0.05</w:t>
      </w:r>
      <w:r>
        <w:t>）；与模型组相比，不同剂量的鸢尾</w:t>
      </w:r>
      <w:proofErr w:type="gramStart"/>
      <w:r>
        <w:t>素组大</w:t>
      </w:r>
      <w:proofErr w:type="gramEnd"/>
      <w:r>
        <w:t>鼠病理损伤得</w:t>
      </w:r>
      <w:r>
        <w:t xml:space="preserve"> </w:t>
      </w:r>
      <w:r>
        <w:t>到改善，牙龈出血指数、牙齿松动度评分、牙槽骨吸收、</w:t>
      </w:r>
      <w:r>
        <w:t>TNF-α</w:t>
      </w:r>
      <w:r>
        <w:t>、</w:t>
      </w:r>
      <w:r>
        <w:t>IL-6</w:t>
      </w:r>
      <w:r>
        <w:t>、</w:t>
      </w:r>
      <w:r>
        <w:t>IL-1β</w:t>
      </w:r>
      <w:r>
        <w:t>、</w:t>
      </w:r>
      <w:r>
        <w:t>MDA</w:t>
      </w:r>
      <w:r>
        <w:t>水平、</w:t>
      </w:r>
      <w:r>
        <w:t>p-JAK2/JAK2</w:t>
      </w:r>
      <w:r>
        <w:t>、</w:t>
      </w:r>
      <w:r>
        <w:t xml:space="preserve">p-STAT3/STAT3 </w:t>
      </w:r>
      <w:r>
        <w:t>表达显著降低，</w:t>
      </w:r>
      <w:r>
        <w:t>SOD</w:t>
      </w:r>
      <w:r>
        <w:t>水平显著增加，具有剂量依赖性（</w:t>
      </w:r>
      <w:r>
        <w:t>P</w:t>
      </w:r>
      <w:r>
        <w:t>＜</w:t>
      </w:r>
      <w:r>
        <w:t>0.05</w:t>
      </w:r>
      <w:r>
        <w:t>）；与鸢尾素</w:t>
      </w:r>
      <w:r>
        <w:t>-H</w:t>
      </w:r>
      <w:r>
        <w:t>组相比，鸢尾素</w:t>
      </w:r>
      <w:r>
        <w:t>-H</w:t>
      </w:r>
      <w:r>
        <w:t>组</w:t>
      </w:r>
      <w:r>
        <w:t>+</w:t>
      </w:r>
      <w:proofErr w:type="gramStart"/>
      <w:r>
        <w:t>激活剂组大鼠</w:t>
      </w:r>
      <w:proofErr w:type="gramEnd"/>
      <w:r>
        <w:t>病理损</w:t>
      </w:r>
      <w:r>
        <w:t xml:space="preserve"> </w:t>
      </w:r>
      <w:r>
        <w:t>伤加重，大鼠牙龈出血指数、牙齿松动度评分、牙槽骨吸收、</w:t>
      </w:r>
      <w:r>
        <w:t>TNF-α</w:t>
      </w:r>
      <w:r>
        <w:t>、</w:t>
      </w:r>
      <w:r>
        <w:t>IL-6</w:t>
      </w:r>
      <w:r>
        <w:t>、</w:t>
      </w:r>
      <w:r>
        <w:t>IL-1β</w:t>
      </w:r>
      <w:r>
        <w:t>、</w:t>
      </w:r>
      <w:r>
        <w:t>MDA</w:t>
      </w:r>
      <w:r>
        <w:t>水平、</w:t>
      </w:r>
      <w:r>
        <w:t>p-JAK2/JAK2</w:t>
      </w:r>
      <w:r>
        <w:t>、</w:t>
      </w:r>
      <w:r>
        <w:t>p-STAT3/ STAT3</w:t>
      </w:r>
      <w:r>
        <w:t>表达显著增加，</w:t>
      </w:r>
      <w:r>
        <w:t>SOD</w:t>
      </w:r>
      <w:r>
        <w:t>水平显著降低（</w:t>
      </w:r>
      <w:r>
        <w:t>P</w:t>
      </w:r>
      <w:r>
        <w:t>＜</w:t>
      </w:r>
      <w:r>
        <w:t>0.05</w:t>
      </w:r>
      <w:r>
        <w:t>）。结论：鸢尾素抑制牙周炎</w:t>
      </w:r>
      <w:proofErr w:type="gramStart"/>
      <w:r>
        <w:t>大鼠氧化</w:t>
      </w:r>
      <w:proofErr w:type="gramEnd"/>
      <w:r>
        <w:t>应激、炎性反应，减轻大鼠牙周组</w:t>
      </w:r>
      <w:r>
        <w:t xml:space="preserve"> </w:t>
      </w:r>
      <w:r>
        <w:t>织损伤，减少牙槽骨吸收，可能与抑制</w:t>
      </w:r>
      <w:r>
        <w:t>JAK2/STAT3</w:t>
      </w:r>
      <w:r>
        <w:t>信号通路有关。</w:t>
      </w:r>
      <w:r>
        <w:t xml:space="preserve"> </w:t>
      </w:r>
    </w:p>
    <w:p w14:paraId="530F9D17" w14:textId="77777777" w:rsidR="00F55D3B" w:rsidRDefault="00F55D3B" w:rsidP="00F55D3B"/>
    <w:p w14:paraId="56177901" w14:textId="272F0CED" w:rsidR="00F55D3B" w:rsidRDefault="00F55D3B" w:rsidP="00F55D3B">
      <w:r>
        <w:t>[</w:t>
      </w:r>
      <w:r>
        <w:t>关键词</w:t>
      </w:r>
      <w:r>
        <w:t>]</w:t>
      </w:r>
      <w:r>
        <w:t>鸢尾素；</w:t>
      </w:r>
      <w:r>
        <w:t>Janus</w:t>
      </w:r>
      <w:r>
        <w:t>蛋白酪氨酸激酶</w:t>
      </w:r>
      <w:r>
        <w:t>2/</w:t>
      </w:r>
      <w:r>
        <w:t>信号转导和转录激活子</w:t>
      </w:r>
      <w:r>
        <w:t>3</w:t>
      </w:r>
      <w:r>
        <w:t>；牙周炎；牙周组织损伤；炎症反应；氧化应激</w:t>
      </w:r>
      <w:r>
        <w:t xml:space="preserve"> </w:t>
      </w:r>
    </w:p>
    <w:p w14:paraId="113A35EF" w14:textId="77777777" w:rsidR="00F55D3B" w:rsidRDefault="00F55D3B" w:rsidP="00F55D3B"/>
    <w:p w14:paraId="3B9E7A68" w14:textId="77777777" w:rsidR="00F55D3B" w:rsidRDefault="00F55D3B" w:rsidP="00F55D3B">
      <w:r>
        <w:t>[</w:t>
      </w:r>
      <w:r>
        <w:t>中图分类号</w:t>
      </w:r>
      <w:r>
        <w:t>]R743.3 [</w:t>
      </w:r>
      <w:r>
        <w:t>文献标志码</w:t>
      </w:r>
      <w:r>
        <w:t>]A [</w:t>
      </w:r>
      <w:r>
        <w:t>文章编号</w:t>
      </w:r>
      <w:r>
        <w:t>]1008-6455</w:t>
      </w:r>
      <w:r>
        <w:t>（</w:t>
      </w:r>
      <w:r>
        <w:t>2024</w:t>
      </w:r>
      <w:r>
        <w:t>）</w:t>
      </w:r>
      <w:r>
        <w:t xml:space="preserve">08-0022-05 </w:t>
      </w:r>
    </w:p>
    <w:p w14:paraId="0216C693" w14:textId="77777777" w:rsidR="00F55D3B" w:rsidRDefault="00F55D3B" w:rsidP="00F55D3B"/>
    <w:p w14:paraId="6CB5E192" w14:textId="77777777" w:rsidR="00F55D3B" w:rsidRDefault="00F55D3B" w:rsidP="00F55D3B">
      <w:r>
        <w:t xml:space="preserve">Effect of Irisin on Periodontal Tissue Damage in Rats with Periodontitis by Regulating the JAK2/STAT3 Signaling Pathway </w:t>
      </w:r>
    </w:p>
    <w:p w14:paraId="20BFD423" w14:textId="77777777" w:rsidR="00F55D3B" w:rsidRDefault="00F55D3B" w:rsidP="00F55D3B"/>
    <w:p w14:paraId="5260B128" w14:textId="189B8166" w:rsidR="00F55D3B" w:rsidRDefault="00F55D3B" w:rsidP="00F55D3B">
      <w:r>
        <w:t xml:space="preserve">TIAN </w:t>
      </w:r>
      <w:proofErr w:type="spellStart"/>
      <w:r>
        <w:t>Mengting</w:t>
      </w:r>
      <w:proofErr w:type="spellEnd"/>
      <w:r>
        <w:t xml:space="preserve">, ZHAO </w:t>
      </w:r>
      <w:proofErr w:type="spellStart"/>
      <w:r>
        <w:t>Jingyao</w:t>
      </w:r>
      <w:proofErr w:type="spellEnd"/>
      <w:r>
        <w:t xml:space="preserve">, LIU Jing </w:t>
      </w:r>
    </w:p>
    <w:p w14:paraId="6052F460" w14:textId="77777777" w:rsidR="00F55D3B" w:rsidRDefault="00F55D3B" w:rsidP="00F55D3B"/>
    <w:p w14:paraId="4EEA3538" w14:textId="62793E2B" w:rsidR="00F55D3B" w:rsidRDefault="00F55D3B" w:rsidP="00F55D3B">
      <w:r>
        <w:t xml:space="preserve">[ Department of Dental Prosthetics and Implantation, the First Affi </w:t>
      </w:r>
      <w:proofErr w:type="spellStart"/>
      <w:r>
        <w:t>liated</w:t>
      </w:r>
      <w:proofErr w:type="spellEnd"/>
      <w:r>
        <w:t xml:space="preserve"> Hospital of Xinjiang Medical University </w:t>
      </w:r>
      <w:proofErr w:type="gramStart"/>
      <w:r>
        <w:t>( Affi</w:t>
      </w:r>
      <w:proofErr w:type="gramEnd"/>
      <w:r>
        <w:t xml:space="preserve"> </w:t>
      </w:r>
      <w:proofErr w:type="spellStart"/>
      <w:r>
        <w:t>liated</w:t>
      </w:r>
      <w:proofErr w:type="spellEnd"/>
      <w:r>
        <w:t xml:space="preserve"> </w:t>
      </w:r>
      <w:proofErr w:type="spellStart"/>
      <w:r>
        <w:t>Stomatological</w:t>
      </w:r>
      <w:proofErr w:type="spellEnd"/>
      <w:r>
        <w:t xml:space="preserve"> Hospital ) /Xinjiang Uygur Autonomous Region Institute of Stomatology, Urumqi 830000, Xinjiang, China] </w:t>
      </w:r>
    </w:p>
    <w:p w14:paraId="03FE1480" w14:textId="77777777" w:rsidR="00F55D3B" w:rsidRDefault="00F55D3B" w:rsidP="00F55D3B"/>
    <w:p w14:paraId="3CAF832D" w14:textId="0A0885B5" w:rsidR="00F55D3B" w:rsidRDefault="00F55D3B" w:rsidP="00F55D3B">
      <w:r>
        <w:t xml:space="preserve">Abstract: Objective To investigate the eff </w:t>
      </w:r>
      <w:proofErr w:type="spellStart"/>
      <w:r>
        <w:t>ect</w:t>
      </w:r>
      <w:proofErr w:type="spellEnd"/>
      <w:r>
        <w:t xml:space="preserve"> of Irisin on periodontal tissue damage in rats with periodontitis by regulating the Janus protein tyrosine kinase 2 (JAK2)/signal transduction and activator of transcription 3 (STAT3) signaling pathway. Methods A rat model of periodontitis was established by ligation and inoculation of </w:t>
      </w:r>
      <w:proofErr w:type="spellStart"/>
      <w:r>
        <w:t>Porphyromonas</w:t>
      </w:r>
      <w:proofErr w:type="spellEnd"/>
      <w:r>
        <w:t xml:space="preserve"> </w:t>
      </w:r>
      <w:proofErr w:type="spellStart"/>
      <w:r>
        <w:t>gingivalis</w:t>
      </w:r>
      <w:proofErr w:type="spellEnd"/>
      <w:r>
        <w:t xml:space="preserve"> solution. The rats were randomly separated into a model group, a low (50 mg/kg irisin L), a medium (100 mg/kg irisin M), a high-dose (200 mg/kg irisin H) groups, and </w:t>
      </w:r>
      <w:proofErr w:type="gramStart"/>
      <w:r>
        <w:t>a</w:t>
      </w:r>
      <w:proofErr w:type="gramEnd"/>
      <w:r>
        <w:t xml:space="preserve"> irisin </w:t>
      </w:r>
      <w:proofErr w:type="spellStart"/>
      <w:r>
        <w:t>H+activator</w:t>
      </w:r>
      <w:proofErr w:type="spellEnd"/>
      <w:r>
        <w:t xml:space="preserve"> group (200 mg/kg irisin+2 mg/kg coumermycin), with 10 rats in each group. Normal rats were injected with an equal volume of physiological saline as the control group. After the intervention, the gingival bleeding index and tooth mobility score of the rats were evaluated; the alveolar bone resorption, tumor necrosis factor-α (TNF-α), interleukin-6 (IL-6), IL-1β, malondialdehyde (MDA), and superoxide dismutase (SOD) levels were detected using the Micro</w:t>
      </w:r>
      <w:r>
        <w:t xml:space="preserve">CT kit. HE was applied to detect pathological changes in periodontal tissue. Western blot was applied to detect the expression of JAK2, STAT3, p-JAK2, and p-STAT3 proteins. Results Compared with the control group, the periodontal tissue of rats in the model group was damaged and </w:t>
      </w:r>
      <w:proofErr w:type="spellStart"/>
      <w:r>
        <w:t>infl</w:t>
      </w:r>
      <w:proofErr w:type="spellEnd"/>
      <w:r>
        <w:t xml:space="preserve"> </w:t>
      </w:r>
      <w:proofErr w:type="spellStart"/>
      <w:r>
        <w:t>ammatory</w:t>
      </w:r>
      <w:proofErr w:type="spellEnd"/>
      <w:r>
        <w:t xml:space="preserve"> </w:t>
      </w:r>
      <w:proofErr w:type="spellStart"/>
      <w:r>
        <w:t>infi</w:t>
      </w:r>
      <w:proofErr w:type="spellEnd"/>
      <w:r>
        <w:t xml:space="preserve"> </w:t>
      </w:r>
      <w:proofErr w:type="spellStart"/>
      <w:r>
        <w:t>ltration</w:t>
      </w:r>
      <w:proofErr w:type="spellEnd"/>
      <w:r>
        <w:t xml:space="preserve"> was severe, the gingival bleeding index, tooth mobility score, alveolar bone resorption, TNF-α, IL-6, IL-1β, MDA levels, p-JAK2/JAK2, p-STAT3/STAT3 expression were obviously increased, the SOD level was obviously decreased (P</w:t>
      </w:r>
      <w:r>
        <w:t>＜</w:t>
      </w:r>
      <w:r>
        <w:t>0.05). Compared with the model group, the pathological damage in rats treated with</w:t>
      </w:r>
      <w:r>
        <w:rPr>
          <w:rFonts w:hint="eastAsia"/>
        </w:rPr>
        <w:t xml:space="preserve"> </w:t>
      </w:r>
      <w:r>
        <w:t xml:space="preserve">diff </w:t>
      </w:r>
      <w:proofErr w:type="spellStart"/>
      <w:r>
        <w:t>erent</w:t>
      </w:r>
      <w:proofErr w:type="spellEnd"/>
      <w:r>
        <w:t xml:space="preserve"> doses of Irisin was improved, the gingival bleeding index, tooth mobility score, alveolar bone resorption, TNF-α, IL-6, IL-1β, MDA levels, p-JAK2/JAK2, p-STAT3/STAT3 expression were obviously decreased, the SOD level was obviously increased, in a dose dependent manner (P</w:t>
      </w:r>
      <w:r>
        <w:t>＜</w:t>
      </w:r>
      <w:r>
        <w:t xml:space="preserve">0.05). Compared with the Irisin H group, the pathological damage in the Irisin </w:t>
      </w:r>
      <w:proofErr w:type="spellStart"/>
      <w:r>
        <w:t>H+activator</w:t>
      </w:r>
      <w:proofErr w:type="spellEnd"/>
      <w:r>
        <w:t xml:space="preserve"> group worsened, the gingival bleeding index, tooth mobility score, alveolar bone resorption, TNF-α, IL-6, IL-1β, MDA levels, p-JAK2/ JAK2, p-STAT3/STAT3 expression were obviously increased, the SOD level was obviously decreased (P</w:t>
      </w:r>
      <w:r>
        <w:t>＜</w:t>
      </w:r>
      <w:r>
        <w:t xml:space="preserve">0.05). Conclusion Irisin inhibits oxidative stress and </w:t>
      </w:r>
      <w:proofErr w:type="spellStart"/>
      <w:r>
        <w:t>infl</w:t>
      </w:r>
      <w:proofErr w:type="spellEnd"/>
      <w:r>
        <w:t xml:space="preserve"> </w:t>
      </w:r>
      <w:proofErr w:type="spellStart"/>
      <w:r>
        <w:t>ammatory</w:t>
      </w:r>
      <w:proofErr w:type="spellEnd"/>
      <w:r>
        <w:t xml:space="preserve"> response in periodontitis rats, alleviates periodontal tissue damage and reduces alveolar bone resorption, which may be related to inhibiting JAK2/STAT3 signaling pathway. </w:t>
      </w:r>
    </w:p>
    <w:p w14:paraId="4F332286" w14:textId="77777777" w:rsidR="00F55D3B" w:rsidRDefault="00F55D3B" w:rsidP="00F55D3B"/>
    <w:p w14:paraId="63CDAD2B" w14:textId="344827FF" w:rsidR="005F0D99" w:rsidRPr="00F55D3B" w:rsidRDefault="00F55D3B" w:rsidP="00F55D3B">
      <w:pPr>
        <w:rPr>
          <w:rFonts w:hint="eastAsia"/>
        </w:rPr>
      </w:pPr>
      <w:r>
        <w:t xml:space="preserve">Key words: Irisin; Janus protein tyrosine kinase 2/signal transduction and transcriptional activator 3; periodontitis; periodontal tissue damage; </w:t>
      </w:r>
      <w:proofErr w:type="spellStart"/>
      <w:r>
        <w:t>infl</w:t>
      </w:r>
      <w:proofErr w:type="spellEnd"/>
      <w:r>
        <w:t xml:space="preserve"> </w:t>
      </w:r>
      <w:proofErr w:type="spellStart"/>
      <w:r>
        <w:t>ammatory</w:t>
      </w:r>
      <w:proofErr w:type="spellEnd"/>
      <w:r>
        <w:t xml:space="preserve"> response; oxidative stress</w:t>
      </w:r>
    </w:p>
    <w:sectPr w:rsidR="005F0D99" w:rsidRPr="00F55D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5D7B8" w14:textId="77777777" w:rsidR="00056CCA" w:rsidRDefault="00056CCA" w:rsidP="003724AB">
      <w:r>
        <w:separator/>
      </w:r>
    </w:p>
  </w:endnote>
  <w:endnote w:type="continuationSeparator" w:id="0">
    <w:p w14:paraId="185059B9" w14:textId="77777777" w:rsidR="00056CCA" w:rsidRDefault="00056CC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7B7D9D0-271D-4029-B4C5-298584DF63E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F8A02" w14:textId="77777777" w:rsidR="00056CCA" w:rsidRDefault="00056CCA" w:rsidP="003724AB">
      <w:r>
        <w:separator/>
      </w:r>
    </w:p>
  </w:footnote>
  <w:footnote w:type="continuationSeparator" w:id="0">
    <w:p w14:paraId="6560C2D5" w14:textId="77777777" w:rsidR="00056CCA" w:rsidRDefault="00056CC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50565"/>
    <w:rsid w:val="0005273B"/>
    <w:rsid w:val="0005302C"/>
    <w:rsid w:val="00053FB7"/>
    <w:rsid w:val="000552B2"/>
    <w:rsid w:val="00056CCA"/>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36090</TotalTime>
  <Pages>1</Pages>
  <Words>643</Words>
  <Characters>3667</Characters>
  <Application>Microsoft Office Word</Application>
  <DocSecurity>0</DocSecurity>
  <Lines>30</Lines>
  <Paragraphs>8</Paragraphs>
  <ScaleCrop>false</ScaleCrop>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3500</cp:revision>
  <dcterms:created xsi:type="dcterms:W3CDTF">2022-07-04T07:48:00Z</dcterms:created>
  <dcterms:modified xsi:type="dcterms:W3CDTF">2024-08-05T07:12:00Z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