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5E3F90" w14:textId="77777777" w:rsidR="00FD1504" w:rsidRDefault="00FD1504" w:rsidP="00FD1504">
      <w:r w:rsidRPr="00FD1504">
        <w:t>生物可吸收板内固定术治疗下颌骨骨折临床效果分析</w:t>
      </w:r>
      <w:r w:rsidRPr="00FD1504">
        <w:t xml:space="preserve"> </w:t>
      </w:r>
    </w:p>
    <w:p w14:paraId="1F17BA98" w14:textId="77777777" w:rsidR="00FD1504" w:rsidRDefault="00FD1504" w:rsidP="00FD1504"/>
    <w:p w14:paraId="48656D1B" w14:textId="4BB94EFA" w:rsidR="00FD1504" w:rsidRDefault="00FD1504" w:rsidP="00FD1504">
      <w:r w:rsidRPr="00FD1504">
        <w:t>郭智恒，高晓林，张静娴</w:t>
      </w:r>
      <w:r w:rsidRPr="00FD1504">
        <w:t xml:space="preserve"> </w:t>
      </w:r>
    </w:p>
    <w:p w14:paraId="7C856472" w14:textId="77777777" w:rsidR="00FD1504" w:rsidRDefault="00FD1504" w:rsidP="00FD1504"/>
    <w:p w14:paraId="66A7596B" w14:textId="76177235" w:rsidR="00FD1504" w:rsidRDefault="00FD1504" w:rsidP="00FD1504">
      <w:r w:rsidRPr="00FD1504">
        <w:t>（临汾市人民医院口腔科</w:t>
      </w:r>
      <w:r w:rsidRPr="00FD1504">
        <w:t xml:space="preserve"> </w:t>
      </w:r>
      <w:r w:rsidRPr="00FD1504">
        <w:t>山西</w:t>
      </w:r>
      <w:r w:rsidRPr="00FD1504">
        <w:t xml:space="preserve"> </w:t>
      </w:r>
      <w:r w:rsidRPr="00FD1504">
        <w:t>临汾</w:t>
      </w:r>
      <w:r w:rsidRPr="00FD1504">
        <w:t xml:space="preserve"> 041000</w:t>
      </w:r>
      <w:r w:rsidRPr="00FD1504">
        <w:t>）</w:t>
      </w:r>
      <w:r w:rsidRPr="00FD1504">
        <w:t xml:space="preserve"> </w:t>
      </w:r>
    </w:p>
    <w:p w14:paraId="4BE74BCE" w14:textId="77777777" w:rsidR="00FD1504" w:rsidRDefault="00FD1504" w:rsidP="00FD1504"/>
    <w:p w14:paraId="6FB2337B" w14:textId="77777777" w:rsidR="00FD1504" w:rsidRDefault="00FD1504" w:rsidP="00FD1504">
      <w:r w:rsidRPr="00FD1504">
        <w:t>[</w:t>
      </w:r>
      <w:r w:rsidRPr="00FD1504">
        <w:t>摘要</w:t>
      </w:r>
      <w:r w:rsidRPr="00FD1504">
        <w:t>]</w:t>
      </w:r>
      <w:r w:rsidRPr="00FD1504">
        <w:t>目的：分析生物可吸收板内固定术在下颌骨骨折患者中的修复效果。方法：选取</w:t>
      </w:r>
      <w:r w:rsidRPr="00FD1504">
        <w:t>2021</w:t>
      </w:r>
      <w:r w:rsidRPr="00FD1504">
        <w:t>年</w:t>
      </w:r>
      <w:r w:rsidRPr="00FD1504">
        <w:t>8</w:t>
      </w:r>
      <w:r w:rsidRPr="00FD1504">
        <w:t>月</w:t>
      </w:r>
      <w:r w:rsidRPr="00FD1504">
        <w:t>-2022</w:t>
      </w:r>
      <w:r w:rsidRPr="00FD1504">
        <w:t>年</w:t>
      </w:r>
      <w:r w:rsidRPr="00FD1504">
        <w:t>8</w:t>
      </w:r>
      <w:r w:rsidRPr="00FD1504">
        <w:t>月于笔者医院接</w:t>
      </w:r>
      <w:r w:rsidRPr="00FD1504">
        <w:t xml:space="preserve"> </w:t>
      </w:r>
      <w:r w:rsidRPr="00FD1504">
        <w:t>受治疗的</w:t>
      </w:r>
      <w:r w:rsidRPr="00FD1504">
        <w:t>98</w:t>
      </w:r>
      <w:r w:rsidRPr="00FD1504">
        <w:t>例下颌骨骨折患者为研究对象，依据手术方式不同分为两组。研究组</w:t>
      </w:r>
      <w:r w:rsidRPr="00FD1504">
        <w:t>50</w:t>
      </w:r>
      <w:proofErr w:type="gramStart"/>
      <w:r w:rsidRPr="00FD1504">
        <w:t>例采取</w:t>
      </w:r>
      <w:proofErr w:type="gramEnd"/>
      <w:r w:rsidRPr="00FD1504">
        <w:t>生物可吸收板内固定术，对照组</w:t>
      </w:r>
      <w:r w:rsidRPr="00FD1504">
        <w:t xml:space="preserve">48 </w:t>
      </w:r>
      <w:proofErr w:type="gramStart"/>
      <w:r w:rsidRPr="00FD1504">
        <w:t>例采取微型钛板</w:t>
      </w:r>
      <w:proofErr w:type="gramEnd"/>
      <w:r w:rsidRPr="00FD1504">
        <w:t>固定术。评价两组治疗效果、固定应力及位移情况，比较两组手术前后的颞颌关节、咬合关系、张口度，并</w:t>
      </w:r>
      <w:r w:rsidRPr="00FD1504">
        <w:t xml:space="preserve"> </w:t>
      </w:r>
      <w:r w:rsidRPr="00FD1504">
        <w:t>评价两组的并发症发生情况。结果：研究组的治疗优良率显著高于对照组（</w:t>
      </w:r>
      <w:r w:rsidRPr="00FD1504">
        <w:t>P</w:t>
      </w:r>
      <w:r w:rsidRPr="00FD1504">
        <w:t>＜</w:t>
      </w:r>
      <w:r w:rsidRPr="00FD1504">
        <w:t>0.05</w:t>
      </w:r>
      <w:r w:rsidRPr="00FD1504">
        <w:t>）；研究组的下颌骨、整体最大应</w:t>
      </w:r>
      <w:r w:rsidRPr="00FD1504">
        <w:t xml:space="preserve"> </w:t>
      </w:r>
      <w:r w:rsidRPr="00FD1504">
        <w:t>力值、最大位移高于对照组，</w:t>
      </w:r>
      <w:proofErr w:type="gramStart"/>
      <w:r w:rsidRPr="00FD1504">
        <w:t>固定板</w:t>
      </w:r>
      <w:proofErr w:type="gramEnd"/>
      <w:r w:rsidRPr="00FD1504">
        <w:t>最大应力值低于对照组，最大位移高于对照组（</w:t>
      </w:r>
      <w:r w:rsidRPr="00FD1504">
        <w:t>P</w:t>
      </w:r>
      <w:r w:rsidRPr="00FD1504">
        <w:t>＜</w:t>
      </w:r>
      <w:r w:rsidRPr="00FD1504">
        <w:t>0.05</w:t>
      </w:r>
      <w:r w:rsidRPr="00FD1504">
        <w:t>）；术后</w:t>
      </w:r>
      <w:r w:rsidRPr="00FD1504">
        <w:t>3</w:t>
      </w:r>
      <w:r w:rsidRPr="00FD1504">
        <w:t>个月，两组</w:t>
      </w:r>
      <w:proofErr w:type="gramStart"/>
      <w:r w:rsidRPr="00FD1504">
        <w:t>颞</w:t>
      </w:r>
      <w:proofErr w:type="gramEnd"/>
      <w:r w:rsidRPr="00FD1504">
        <w:t>颌</w:t>
      </w:r>
      <w:r w:rsidRPr="00FD1504">
        <w:t xml:space="preserve"> </w:t>
      </w:r>
      <w:r w:rsidRPr="00FD1504">
        <w:t>关节、咬合关系、张口度评分均降低，其中</w:t>
      </w:r>
      <w:proofErr w:type="gramStart"/>
      <w:r w:rsidRPr="00FD1504">
        <w:t>研究组各评分</w:t>
      </w:r>
      <w:proofErr w:type="gramEnd"/>
      <w:r w:rsidRPr="00FD1504">
        <w:t>低于对照组（</w:t>
      </w:r>
      <w:r w:rsidRPr="00FD1504">
        <w:t>P</w:t>
      </w:r>
      <w:r w:rsidRPr="00FD1504">
        <w:t>＜</w:t>
      </w:r>
      <w:r w:rsidRPr="00FD1504">
        <w:t>0.05</w:t>
      </w:r>
      <w:r w:rsidRPr="00FD1504">
        <w:t>）；研究组的并发症发生率低于对照组</w:t>
      </w:r>
      <w:r w:rsidRPr="00FD1504">
        <w:t xml:space="preserve"> </w:t>
      </w:r>
      <w:r w:rsidRPr="00FD1504">
        <w:t>（</w:t>
      </w:r>
      <w:r w:rsidRPr="00FD1504">
        <w:t>P</w:t>
      </w:r>
      <w:r w:rsidRPr="00FD1504">
        <w:t>＜</w:t>
      </w:r>
      <w:r w:rsidRPr="00FD1504">
        <w:t>0.05</w:t>
      </w:r>
      <w:r w:rsidRPr="00FD1504">
        <w:t>）。结论：在下颌骨骨折患者的临床治疗中应用生物可吸收板内固定治疗效果显著，可明显提升骨应力，促进下</w:t>
      </w:r>
      <w:r w:rsidRPr="00FD1504">
        <w:t xml:space="preserve"> </w:t>
      </w:r>
      <w:r w:rsidRPr="00FD1504">
        <w:t>颌骨功能恢复，改善颞颌关节、咬合关系及张口度，并发症少，对患者的下颌骨骨折有明显的修复作用。</w:t>
      </w:r>
      <w:r w:rsidRPr="00FD1504">
        <w:t xml:space="preserve"> </w:t>
      </w:r>
    </w:p>
    <w:p w14:paraId="6B7405C4" w14:textId="77777777" w:rsidR="00FD1504" w:rsidRDefault="00FD1504" w:rsidP="00FD1504"/>
    <w:p w14:paraId="037B0215" w14:textId="77777777" w:rsidR="00FD1504" w:rsidRDefault="00FD1504" w:rsidP="00FD1504">
      <w:r w:rsidRPr="00FD1504">
        <w:t>[</w:t>
      </w:r>
      <w:r w:rsidRPr="00FD1504">
        <w:t>关键词</w:t>
      </w:r>
      <w:r w:rsidRPr="00FD1504">
        <w:t>]</w:t>
      </w:r>
      <w:r w:rsidRPr="00FD1504">
        <w:t>下颌骨骨折；生物可吸收板固定；微型</w:t>
      </w:r>
      <w:proofErr w:type="gramStart"/>
      <w:r w:rsidRPr="00FD1504">
        <w:t>钛板固定</w:t>
      </w:r>
      <w:proofErr w:type="gramEnd"/>
      <w:r w:rsidRPr="00FD1504">
        <w:t>；修复效果；功能恢复</w:t>
      </w:r>
      <w:r w:rsidRPr="00FD1504">
        <w:t xml:space="preserve"> </w:t>
      </w:r>
    </w:p>
    <w:p w14:paraId="5464E0FD" w14:textId="77777777" w:rsidR="00FD1504" w:rsidRDefault="00FD1504" w:rsidP="00FD1504"/>
    <w:p w14:paraId="62A1A89A" w14:textId="77777777" w:rsidR="00FD1504" w:rsidRDefault="00FD1504" w:rsidP="00FD1504">
      <w:r w:rsidRPr="00FD1504">
        <w:t>[</w:t>
      </w:r>
      <w:r w:rsidRPr="00FD1504">
        <w:t>中图分类号</w:t>
      </w:r>
      <w:r w:rsidRPr="00FD1504">
        <w:t>]R782.4 [</w:t>
      </w:r>
      <w:r w:rsidRPr="00FD1504">
        <w:t>文献标志码</w:t>
      </w:r>
      <w:r w:rsidRPr="00FD1504">
        <w:t>]A [</w:t>
      </w:r>
      <w:r w:rsidRPr="00FD1504">
        <w:t>文章编号</w:t>
      </w:r>
      <w:r w:rsidRPr="00FD1504">
        <w:t>]1008-6455</w:t>
      </w:r>
      <w:r w:rsidRPr="00FD1504">
        <w:t>（</w:t>
      </w:r>
      <w:r w:rsidRPr="00FD1504">
        <w:t>2024</w:t>
      </w:r>
      <w:r w:rsidRPr="00FD1504">
        <w:t>）</w:t>
      </w:r>
      <w:r w:rsidRPr="00FD1504">
        <w:t xml:space="preserve">08-0060-04 </w:t>
      </w:r>
    </w:p>
    <w:p w14:paraId="6F3E0779" w14:textId="77777777" w:rsidR="00FD1504" w:rsidRDefault="00FD1504" w:rsidP="00FD1504"/>
    <w:p w14:paraId="4D7E1E9C" w14:textId="77777777" w:rsidR="00FD1504" w:rsidRDefault="00FD1504" w:rsidP="00FD1504">
      <w:r w:rsidRPr="00FD1504">
        <w:t xml:space="preserve">Analysis of the Effect of Absorbable Plate Internal Fixation on Mandibular Fracture </w:t>
      </w:r>
    </w:p>
    <w:p w14:paraId="2E5BCFE7" w14:textId="77777777" w:rsidR="00FD1504" w:rsidRDefault="00FD1504" w:rsidP="00FD1504"/>
    <w:p w14:paraId="0E0BD519" w14:textId="7A692275" w:rsidR="00FD1504" w:rsidRDefault="00FD1504" w:rsidP="00FD1504">
      <w:r w:rsidRPr="00FD1504">
        <w:t xml:space="preserve">GUO Zhiheng, GAO Xiaolin, ZHANG </w:t>
      </w:r>
      <w:proofErr w:type="spellStart"/>
      <w:r w:rsidRPr="00FD1504">
        <w:t>Jingxian</w:t>
      </w:r>
      <w:proofErr w:type="spellEnd"/>
      <w:r w:rsidRPr="00FD1504">
        <w:t xml:space="preserve"> </w:t>
      </w:r>
    </w:p>
    <w:p w14:paraId="10FA3675" w14:textId="77777777" w:rsidR="00FD1504" w:rsidRDefault="00FD1504" w:rsidP="00FD1504"/>
    <w:p w14:paraId="6D72B07D" w14:textId="76FADCEC" w:rsidR="00FD1504" w:rsidRDefault="00FD1504" w:rsidP="00FD1504">
      <w:proofErr w:type="gramStart"/>
      <w:r w:rsidRPr="00FD1504">
        <w:t>( Department</w:t>
      </w:r>
      <w:proofErr w:type="gramEnd"/>
      <w:r w:rsidRPr="00FD1504">
        <w:t xml:space="preserve"> of Stomatology, </w:t>
      </w:r>
      <w:proofErr w:type="spellStart"/>
      <w:r w:rsidRPr="00FD1504">
        <w:t>Linfen</w:t>
      </w:r>
      <w:proofErr w:type="spellEnd"/>
      <w:r w:rsidRPr="00FD1504">
        <w:t xml:space="preserve"> People's Hospital, </w:t>
      </w:r>
      <w:proofErr w:type="spellStart"/>
      <w:r w:rsidRPr="00FD1504">
        <w:t>Linfen</w:t>
      </w:r>
      <w:proofErr w:type="spellEnd"/>
      <w:r w:rsidRPr="00FD1504">
        <w:t xml:space="preserve"> 041000, Shanxi, China) </w:t>
      </w:r>
    </w:p>
    <w:p w14:paraId="13477BCB" w14:textId="77777777" w:rsidR="00FD1504" w:rsidRDefault="00FD1504" w:rsidP="00FD1504"/>
    <w:p w14:paraId="606A519E" w14:textId="63E996B5" w:rsidR="00FD1504" w:rsidRDefault="00FD1504" w:rsidP="00FD1504">
      <w:r w:rsidRPr="00FD1504">
        <w:t xml:space="preserve">Abstract: Objective To analyze the eff </w:t>
      </w:r>
      <w:proofErr w:type="spellStart"/>
      <w:r w:rsidRPr="00FD1504">
        <w:t>ect</w:t>
      </w:r>
      <w:proofErr w:type="spellEnd"/>
      <w:r w:rsidRPr="00FD1504">
        <w:t xml:space="preserve"> of absorbable plate internal fi </w:t>
      </w:r>
      <w:proofErr w:type="spellStart"/>
      <w:r w:rsidRPr="00FD1504">
        <w:t>xation</w:t>
      </w:r>
      <w:proofErr w:type="spellEnd"/>
      <w:r w:rsidRPr="00FD1504">
        <w:t xml:space="preserve"> in mandibular fracture patients. Methods 98 patients with mandibular fracture who were treated in the author's hospital from eight 2021 to </w:t>
      </w:r>
      <w:proofErr w:type="spellStart"/>
      <w:r w:rsidRPr="00FD1504">
        <w:t>eightr</w:t>
      </w:r>
      <w:proofErr w:type="spellEnd"/>
      <w:r w:rsidRPr="00FD1504">
        <w:t xml:space="preserve"> 2022 were divided into two groups according to diff </w:t>
      </w:r>
      <w:proofErr w:type="spellStart"/>
      <w:r w:rsidRPr="00FD1504">
        <w:t>erent</w:t>
      </w:r>
      <w:proofErr w:type="spellEnd"/>
      <w:r w:rsidRPr="00FD1504">
        <w:t xml:space="preserve"> surgical methods. 50 cases in the study group were treated with bioabsorbable plate fi </w:t>
      </w:r>
      <w:proofErr w:type="spellStart"/>
      <w:r w:rsidRPr="00FD1504">
        <w:t>xation</w:t>
      </w:r>
      <w:proofErr w:type="spellEnd"/>
      <w:r w:rsidRPr="00FD1504">
        <w:t xml:space="preserve">, while 48 cases in the control group were treated with micro titanium plate fi </w:t>
      </w:r>
      <w:proofErr w:type="spellStart"/>
      <w:r w:rsidRPr="00FD1504">
        <w:t>xation</w:t>
      </w:r>
      <w:proofErr w:type="spellEnd"/>
      <w:r w:rsidRPr="00FD1504">
        <w:t xml:space="preserve">. To evaluate the </w:t>
      </w:r>
      <w:proofErr w:type="gramStart"/>
      <w:r w:rsidRPr="00FD1504">
        <w:t>treatment</w:t>
      </w:r>
      <w:proofErr w:type="gramEnd"/>
      <w:r w:rsidRPr="00FD1504">
        <w:t xml:space="preserve"> eff </w:t>
      </w:r>
      <w:proofErr w:type="spellStart"/>
      <w:r w:rsidRPr="00FD1504">
        <w:t>ect</w:t>
      </w:r>
      <w:proofErr w:type="spellEnd"/>
      <w:r w:rsidRPr="00FD1504">
        <w:t xml:space="preserve">, fi </w:t>
      </w:r>
      <w:proofErr w:type="spellStart"/>
      <w:r w:rsidRPr="00FD1504">
        <w:t>xation</w:t>
      </w:r>
      <w:proofErr w:type="spellEnd"/>
      <w:r w:rsidRPr="00FD1504">
        <w:t xml:space="preserve"> stress and displacement of the two groups, compare the temporomandibular joint, occlusion relationship, mouth opening degree of the two groups before and after surgery, and evaluate the complications of the two groups. Results The excellent and good rate of treatment in the study group was </w:t>
      </w:r>
      <w:proofErr w:type="spellStart"/>
      <w:r w:rsidRPr="00FD1504">
        <w:t>signifi</w:t>
      </w:r>
      <w:proofErr w:type="spellEnd"/>
      <w:r w:rsidRPr="00FD1504">
        <w:t xml:space="preserve"> </w:t>
      </w:r>
      <w:proofErr w:type="spellStart"/>
      <w:r w:rsidRPr="00FD1504">
        <w:t>cantly</w:t>
      </w:r>
      <w:proofErr w:type="spellEnd"/>
      <w:r w:rsidRPr="00FD1504">
        <w:t xml:space="preserve"> higher than that in the control group (P</w:t>
      </w:r>
      <w:r w:rsidRPr="00FD1504">
        <w:t>＜</w:t>
      </w:r>
      <w:r w:rsidRPr="00FD1504">
        <w:t xml:space="preserve">0.05). The maximum stress and displacement of the mandible and the whole body in the study group were higher than those in the control group, while the maximum stress value of the fi </w:t>
      </w:r>
      <w:proofErr w:type="spellStart"/>
      <w:r w:rsidRPr="00FD1504">
        <w:t>xed</w:t>
      </w:r>
      <w:proofErr w:type="spellEnd"/>
      <w:r w:rsidRPr="00FD1504">
        <w:t xml:space="preserve"> plate was lower than that of the control group, and the maximum displacement was higher than that of the control group (P</w:t>
      </w:r>
      <w:r w:rsidRPr="00FD1504">
        <w:t>＜</w:t>
      </w:r>
      <w:r w:rsidRPr="00FD1504">
        <w:t>0.05). Three months after operation, the scores of temporomandibular joint, occlusal relationship and mouth opening in both groups decreased, and the scores in the study group were lower than those in the control group (P</w:t>
      </w:r>
      <w:r w:rsidRPr="00FD1504">
        <w:t>＜</w:t>
      </w:r>
      <w:r w:rsidRPr="00FD1504">
        <w:t>0.05). The incidence of complications in the study group was lower than that in the control group (P</w:t>
      </w:r>
      <w:r w:rsidRPr="00FD1504">
        <w:t>＜</w:t>
      </w:r>
      <w:r w:rsidRPr="00FD1504">
        <w:t xml:space="preserve">0.05). Conclusion In the clinical treatment of patients with mandibular fracture, the application of bioabsorbable plate internal fi </w:t>
      </w:r>
      <w:proofErr w:type="spellStart"/>
      <w:r w:rsidRPr="00FD1504">
        <w:t>xation</w:t>
      </w:r>
      <w:proofErr w:type="spellEnd"/>
      <w:r w:rsidRPr="00FD1504">
        <w:t xml:space="preserve"> has a </w:t>
      </w:r>
      <w:proofErr w:type="spellStart"/>
      <w:r w:rsidRPr="00FD1504">
        <w:t>signifi</w:t>
      </w:r>
      <w:proofErr w:type="spellEnd"/>
      <w:r w:rsidRPr="00FD1504">
        <w:t xml:space="preserve"> </w:t>
      </w:r>
      <w:proofErr w:type="gramStart"/>
      <w:r w:rsidRPr="00FD1504">
        <w:t>cant</w:t>
      </w:r>
      <w:proofErr w:type="gramEnd"/>
      <w:r w:rsidRPr="00FD1504">
        <w:t xml:space="preserve"> eff </w:t>
      </w:r>
      <w:proofErr w:type="spellStart"/>
      <w:r w:rsidRPr="00FD1504">
        <w:t>ect</w:t>
      </w:r>
      <w:proofErr w:type="spellEnd"/>
      <w:r w:rsidRPr="00FD1504">
        <w:t xml:space="preserve">, which can </w:t>
      </w:r>
      <w:proofErr w:type="spellStart"/>
      <w:r w:rsidRPr="00FD1504">
        <w:t>signifi</w:t>
      </w:r>
      <w:proofErr w:type="spellEnd"/>
      <w:r w:rsidRPr="00FD1504">
        <w:t xml:space="preserve"> </w:t>
      </w:r>
      <w:proofErr w:type="spellStart"/>
      <w:r w:rsidRPr="00FD1504">
        <w:t>cantly</w:t>
      </w:r>
      <w:proofErr w:type="spellEnd"/>
      <w:r w:rsidRPr="00FD1504">
        <w:t xml:space="preserve"> enhance the bone stress, promote the recovery of mandibular function, improve the temporomandibular joint, occlusion relationship and mouth opening degree, with fewer complications, and has a </w:t>
      </w:r>
      <w:proofErr w:type="spellStart"/>
      <w:r w:rsidRPr="00FD1504">
        <w:t>signifi</w:t>
      </w:r>
      <w:proofErr w:type="spellEnd"/>
      <w:r w:rsidRPr="00FD1504">
        <w:t xml:space="preserve"> cant repair eff </w:t>
      </w:r>
      <w:proofErr w:type="spellStart"/>
      <w:r w:rsidRPr="00FD1504">
        <w:t>ect</w:t>
      </w:r>
      <w:proofErr w:type="spellEnd"/>
      <w:r w:rsidRPr="00FD1504">
        <w:t xml:space="preserve"> on patients with mandibular fracture. </w:t>
      </w:r>
    </w:p>
    <w:p w14:paraId="04974F3B" w14:textId="77777777" w:rsidR="00FD1504" w:rsidRDefault="00FD1504" w:rsidP="00FD1504"/>
    <w:p w14:paraId="0635BFF7" w14:textId="69C9FA61" w:rsidR="00247E65" w:rsidRPr="00FD1504" w:rsidRDefault="00FD1504" w:rsidP="00FD1504">
      <w:r w:rsidRPr="00FD1504">
        <w:t xml:space="preserve">Key words: mandibular fracture; bioabsorbable plate fi </w:t>
      </w:r>
      <w:proofErr w:type="spellStart"/>
      <w:r w:rsidRPr="00FD1504">
        <w:t>xation</w:t>
      </w:r>
      <w:proofErr w:type="spellEnd"/>
      <w:r w:rsidRPr="00FD1504">
        <w:t xml:space="preserve">; micro titanium plate fi </w:t>
      </w:r>
      <w:proofErr w:type="spellStart"/>
      <w:r w:rsidRPr="00FD1504">
        <w:t>xation</w:t>
      </w:r>
      <w:proofErr w:type="spellEnd"/>
      <w:r w:rsidRPr="00FD1504">
        <w:t xml:space="preserve">; repair eff </w:t>
      </w:r>
      <w:proofErr w:type="spellStart"/>
      <w:r w:rsidRPr="00FD1504">
        <w:t>ect</w:t>
      </w:r>
      <w:proofErr w:type="spellEnd"/>
      <w:r w:rsidRPr="00FD1504">
        <w:t>; functional recovery</w:t>
      </w:r>
    </w:p>
    <w:sectPr w:rsidR="00247E65" w:rsidRPr="00FD150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8758F8" w14:textId="77777777" w:rsidR="009075F3" w:rsidRDefault="009075F3" w:rsidP="003724AB">
      <w:r>
        <w:separator/>
      </w:r>
    </w:p>
  </w:endnote>
  <w:endnote w:type="continuationSeparator" w:id="0">
    <w:p w14:paraId="5F069A9B" w14:textId="77777777" w:rsidR="009075F3" w:rsidRDefault="009075F3"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912773CE-0756-4E85-A0F0-F6AB36604908}"/>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9D03BA" w14:textId="77777777" w:rsidR="009075F3" w:rsidRDefault="009075F3" w:rsidP="003724AB">
      <w:r>
        <w:separator/>
      </w:r>
    </w:p>
  </w:footnote>
  <w:footnote w:type="continuationSeparator" w:id="0">
    <w:p w14:paraId="790A1BBE" w14:textId="77777777" w:rsidR="009075F3" w:rsidRDefault="009075F3"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25C2"/>
    <w:rsid w:val="000126A4"/>
    <w:rsid w:val="0001461F"/>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44F8F"/>
    <w:rsid w:val="00047897"/>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500C"/>
    <w:rsid w:val="000F5DBB"/>
    <w:rsid w:val="000F6A46"/>
    <w:rsid w:val="0010184F"/>
    <w:rsid w:val="00101A30"/>
    <w:rsid w:val="00103BF4"/>
    <w:rsid w:val="00103E44"/>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02C6"/>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E6"/>
    <w:rsid w:val="002101E9"/>
    <w:rsid w:val="00212C9E"/>
    <w:rsid w:val="00212D3D"/>
    <w:rsid w:val="002132F2"/>
    <w:rsid w:val="00213BCF"/>
    <w:rsid w:val="00214A76"/>
    <w:rsid w:val="00214B98"/>
    <w:rsid w:val="0021718F"/>
    <w:rsid w:val="00220BCF"/>
    <w:rsid w:val="00223772"/>
    <w:rsid w:val="002243F5"/>
    <w:rsid w:val="00225A90"/>
    <w:rsid w:val="00226247"/>
    <w:rsid w:val="00227991"/>
    <w:rsid w:val="002327A2"/>
    <w:rsid w:val="00232F23"/>
    <w:rsid w:val="00233F04"/>
    <w:rsid w:val="00235BEE"/>
    <w:rsid w:val="00240EE3"/>
    <w:rsid w:val="00244885"/>
    <w:rsid w:val="00245A82"/>
    <w:rsid w:val="00245DE5"/>
    <w:rsid w:val="00247E65"/>
    <w:rsid w:val="00251185"/>
    <w:rsid w:val="00251F95"/>
    <w:rsid w:val="00254A90"/>
    <w:rsid w:val="00255034"/>
    <w:rsid w:val="00255D27"/>
    <w:rsid w:val="00262971"/>
    <w:rsid w:val="00263916"/>
    <w:rsid w:val="00266977"/>
    <w:rsid w:val="0026714E"/>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1354"/>
    <w:rsid w:val="0030349E"/>
    <w:rsid w:val="003063D8"/>
    <w:rsid w:val="00307875"/>
    <w:rsid w:val="00310D14"/>
    <w:rsid w:val="00310DD2"/>
    <w:rsid w:val="00310FBA"/>
    <w:rsid w:val="003157A0"/>
    <w:rsid w:val="003179EC"/>
    <w:rsid w:val="003206FE"/>
    <w:rsid w:val="0032130A"/>
    <w:rsid w:val="00321EEA"/>
    <w:rsid w:val="0032578D"/>
    <w:rsid w:val="00325CEA"/>
    <w:rsid w:val="00330C61"/>
    <w:rsid w:val="00331980"/>
    <w:rsid w:val="003329CF"/>
    <w:rsid w:val="00336A3B"/>
    <w:rsid w:val="00337227"/>
    <w:rsid w:val="00337F6B"/>
    <w:rsid w:val="00340429"/>
    <w:rsid w:val="003423DD"/>
    <w:rsid w:val="00342627"/>
    <w:rsid w:val="00347AC3"/>
    <w:rsid w:val="00347DE0"/>
    <w:rsid w:val="00351B5A"/>
    <w:rsid w:val="003530AD"/>
    <w:rsid w:val="0035315D"/>
    <w:rsid w:val="00357132"/>
    <w:rsid w:val="00357383"/>
    <w:rsid w:val="003576DC"/>
    <w:rsid w:val="00360817"/>
    <w:rsid w:val="003638CC"/>
    <w:rsid w:val="00364AD6"/>
    <w:rsid w:val="00366748"/>
    <w:rsid w:val="00367714"/>
    <w:rsid w:val="003724AB"/>
    <w:rsid w:val="003725D9"/>
    <w:rsid w:val="00372B47"/>
    <w:rsid w:val="00376064"/>
    <w:rsid w:val="003777EE"/>
    <w:rsid w:val="00381FA6"/>
    <w:rsid w:val="003855F3"/>
    <w:rsid w:val="0038722C"/>
    <w:rsid w:val="003904AD"/>
    <w:rsid w:val="003906F0"/>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507A"/>
    <w:rsid w:val="003E5D3D"/>
    <w:rsid w:val="003E7F75"/>
    <w:rsid w:val="003F036A"/>
    <w:rsid w:val="003F1FFB"/>
    <w:rsid w:val="003F23CE"/>
    <w:rsid w:val="003F48EE"/>
    <w:rsid w:val="003F4CAE"/>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36825"/>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AC0"/>
    <w:rsid w:val="004A2F72"/>
    <w:rsid w:val="004A469A"/>
    <w:rsid w:val="004A5C83"/>
    <w:rsid w:val="004A68E9"/>
    <w:rsid w:val="004B03B8"/>
    <w:rsid w:val="004B1070"/>
    <w:rsid w:val="004B1AA2"/>
    <w:rsid w:val="004B3384"/>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437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12A1"/>
    <w:rsid w:val="00642902"/>
    <w:rsid w:val="006432D8"/>
    <w:rsid w:val="006435F4"/>
    <w:rsid w:val="0064697E"/>
    <w:rsid w:val="006474A4"/>
    <w:rsid w:val="006479C6"/>
    <w:rsid w:val="00651514"/>
    <w:rsid w:val="0065258B"/>
    <w:rsid w:val="00652A5E"/>
    <w:rsid w:val="006560C2"/>
    <w:rsid w:val="00656889"/>
    <w:rsid w:val="006602C5"/>
    <w:rsid w:val="006617EF"/>
    <w:rsid w:val="006626A8"/>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3AAC"/>
    <w:rsid w:val="006B4B53"/>
    <w:rsid w:val="006B6061"/>
    <w:rsid w:val="006B757C"/>
    <w:rsid w:val="006B7D01"/>
    <w:rsid w:val="006C314C"/>
    <w:rsid w:val="006C4142"/>
    <w:rsid w:val="006C5C75"/>
    <w:rsid w:val="006C61D8"/>
    <w:rsid w:val="006C769A"/>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1CA2"/>
    <w:rsid w:val="007520B1"/>
    <w:rsid w:val="007524E7"/>
    <w:rsid w:val="007533C5"/>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1BAD"/>
    <w:rsid w:val="00791BCF"/>
    <w:rsid w:val="0079383C"/>
    <w:rsid w:val="00796E83"/>
    <w:rsid w:val="007A3FAF"/>
    <w:rsid w:val="007A4973"/>
    <w:rsid w:val="007A6D5F"/>
    <w:rsid w:val="007A747F"/>
    <w:rsid w:val="007B0BA0"/>
    <w:rsid w:val="007B0D87"/>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254F"/>
    <w:rsid w:val="0080285A"/>
    <w:rsid w:val="008040CC"/>
    <w:rsid w:val="00804538"/>
    <w:rsid w:val="008061D5"/>
    <w:rsid w:val="00807015"/>
    <w:rsid w:val="00811DFF"/>
    <w:rsid w:val="0081396D"/>
    <w:rsid w:val="00813981"/>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533DE"/>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075F3"/>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0BA2"/>
    <w:rsid w:val="009736A5"/>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3935"/>
    <w:rsid w:val="00AF48FE"/>
    <w:rsid w:val="00AF6274"/>
    <w:rsid w:val="00AF727C"/>
    <w:rsid w:val="00B00FC8"/>
    <w:rsid w:val="00B07700"/>
    <w:rsid w:val="00B114A0"/>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60DE"/>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644F"/>
    <w:rsid w:val="00BE6792"/>
    <w:rsid w:val="00BE6E4B"/>
    <w:rsid w:val="00BE7F41"/>
    <w:rsid w:val="00BF20C2"/>
    <w:rsid w:val="00BF2D6D"/>
    <w:rsid w:val="00BF3C2B"/>
    <w:rsid w:val="00C01821"/>
    <w:rsid w:val="00C02216"/>
    <w:rsid w:val="00C02C4F"/>
    <w:rsid w:val="00C06485"/>
    <w:rsid w:val="00C06A15"/>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44524"/>
    <w:rsid w:val="00C56FD9"/>
    <w:rsid w:val="00C60975"/>
    <w:rsid w:val="00C6210E"/>
    <w:rsid w:val="00C639A2"/>
    <w:rsid w:val="00C660D0"/>
    <w:rsid w:val="00C66126"/>
    <w:rsid w:val="00C66DCE"/>
    <w:rsid w:val="00C71761"/>
    <w:rsid w:val="00C719E9"/>
    <w:rsid w:val="00C71D8B"/>
    <w:rsid w:val="00C72904"/>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402D"/>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855A1"/>
    <w:rsid w:val="00D90257"/>
    <w:rsid w:val="00D93193"/>
    <w:rsid w:val="00D95E80"/>
    <w:rsid w:val="00D965CA"/>
    <w:rsid w:val="00DA0B62"/>
    <w:rsid w:val="00DA0E3B"/>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D72C5"/>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6667"/>
    <w:rsid w:val="00E400DE"/>
    <w:rsid w:val="00E40844"/>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3FAD"/>
    <w:rsid w:val="00E94087"/>
    <w:rsid w:val="00E95981"/>
    <w:rsid w:val="00E95BC3"/>
    <w:rsid w:val="00E964DD"/>
    <w:rsid w:val="00E96B16"/>
    <w:rsid w:val="00E977A7"/>
    <w:rsid w:val="00EA1FF1"/>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F2C20"/>
    <w:rsid w:val="00F02681"/>
    <w:rsid w:val="00F029A0"/>
    <w:rsid w:val="00F03FF4"/>
    <w:rsid w:val="00F04021"/>
    <w:rsid w:val="00F079B6"/>
    <w:rsid w:val="00F105AE"/>
    <w:rsid w:val="00F10FF0"/>
    <w:rsid w:val="00F1211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5D3B"/>
    <w:rsid w:val="00F56281"/>
    <w:rsid w:val="00F57FBB"/>
    <w:rsid w:val="00F57FE4"/>
    <w:rsid w:val="00F65BF2"/>
    <w:rsid w:val="00F65F58"/>
    <w:rsid w:val="00F67909"/>
    <w:rsid w:val="00F70596"/>
    <w:rsid w:val="00F70B91"/>
    <w:rsid w:val="00F70E90"/>
    <w:rsid w:val="00F72E2E"/>
    <w:rsid w:val="00F733BC"/>
    <w:rsid w:val="00F73723"/>
    <w:rsid w:val="00F743EB"/>
    <w:rsid w:val="00F75D01"/>
    <w:rsid w:val="00F76816"/>
    <w:rsid w:val="00F774EE"/>
    <w:rsid w:val="00F822F1"/>
    <w:rsid w:val="00F83151"/>
    <w:rsid w:val="00F836F2"/>
    <w:rsid w:val="00F8559D"/>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1504"/>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36501</TotalTime>
  <Pages>1</Pages>
  <Words>432</Words>
  <Characters>2469</Characters>
  <Application>Microsoft Office Word</Application>
  <DocSecurity>0</DocSecurity>
  <Lines>20</Lines>
  <Paragraphs>5</Paragraphs>
  <ScaleCrop>false</ScaleCrop>
  <Company/>
  <LinksUpToDate>false</LinksUpToDate>
  <CharactersWithSpaces>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3549</cp:revision>
  <dcterms:created xsi:type="dcterms:W3CDTF">2022-07-04T07:48:00Z</dcterms:created>
  <dcterms:modified xsi:type="dcterms:W3CDTF">2024-08-06T06:21:00Z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