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718FF">
      <w:pPr>
        <w:keepNext w:val="0"/>
        <w:keepLines w:val="0"/>
        <w:widowControl/>
        <w:suppressLineNumbers w:val="0"/>
        <w:jc w:val="left"/>
      </w:pPr>
      <w:r>
        <w:rPr>
          <w:rFonts w:ascii="方正小标宋_GBK" w:hAnsi="方正小标宋_GBK" w:eastAsia="方正小标宋_GBK" w:cs="方正小标宋_GBK"/>
          <w:color w:val="231F20"/>
          <w:kern w:val="0"/>
          <w:sz w:val="30"/>
          <w:szCs w:val="30"/>
          <w:lang w:val="en-US" w:eastAsia="zh-CN" w:bidi="ar"/>
        </w:rPr>
        <w:t xml:space="preserve">电话回访对青少年患者固定矫治初期托槽脱落率的影响 </w:t>
      </w:r>
    </w:p>
    <w:p w14:paraId="5BB9F5E5">
      <w:pPr>
        <w:keepNext w:val="0"/>
        <w:keepLines w:val="0"/>
        <w:widowControl/>
        <w:suppressLineNumbers w:val="0"/>
        <w:jc w:val="left"/>
      </w:pPr>
      <w:r>
        <w:rPr>
          <w:rFonts w:ascii="方正楷体_GBK" w:hAnsi="方正楷体_GBK" w:eastAsia="方正楷体_GBK" w:cs="方正楷体_GBK"/>
          <w:color w:val="231F20"/>
          <w:kern w:val="0"/>
          <w:sz w:val="24"/>
          <w:szCs w:val="24"/>
          <w:lang w:val="en-US" w:eastAsia="zh-CN" w:bidi="ar"/>
        </w:rPr>
        <w:t xml:space="preserve">王少鹏，张莹莹，朱 甜，谢尔婷 </w:t>
      </w:r>
    </w:p>
    <w:p w14:paraId="354175C0">
      <w:pPr>
        <w:keepNext w:val="0"/>
        <w:keepLines w:val="0"/>
        <w:widowControl/>
        <w:suppressLineNumbers w:val="0"/>
        <w:jc w:val="left"/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</w:pPr>
      <w:r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  <w:t xml:space="preserve">（深圳市龙华区人民医院口腔科 广东 深圳 518110） </w:t>
      </w:r>
    </w:p>
    <w:p w14:paraId="21D26755">
      <w:pPr>
        <w:keepNext w:val="0"/>
        <w:keepLines w:val="0"/>
        <w:widowControl/>
        <w:suppressLineNumbers w:val="0"/>
        <w:jc w:val="left"/>
        <w:rPr>
          <w:rFonts w:hint="eastAsia" w:ascii="方正楷体_GBK" w:hAnsi="方正楷体_GBK" w:eastAsia="方正楷体_GBK" w:cs="方正楷体_GBK"/>
          <w:color w:val="231F20"/>
          <w:kern w:val="0"/>
          <w:sz w:val="18"/>
          <w:szCs w:val="18"/>
          <w:lang w:val="en-US" w:eastAsia="zh-CN" w:bidi="ar"/>
        </w:rPr>
      </w:pPr>
      <w:bookmarkStart w:id="0" w:name="_GoBack"/>
      <w:bookmarkEnd w:id="0"/>
    </w:p>
    <w:p w14:paraId="2C93AC66">
      <w:pPr>
        <w:keepNext w:val="0"/>
        <w:keepLines w:val="0"/>
        <w:widowControl/>
        <w:suppressLineNumbers w:val="0"/>
        <w:jc w:val="left"/>
      </w:pPr>
      <w:r>
        <w:rPr>
          <w:rFonts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[摘要]目的：</w:t>
      </w:r>
      <w:r>
        <w:rPr>
          <w:rFonts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探讨在青少年患者固定矫治初期电话回访对于托槽脱落率的影响。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方法：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选取2020年6月-2021年6月于深圳市 </w:t>
      </w:r>
    </w:p>
    <w:p w14:paraId="2445EE6B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龙华区人民医院进行固定矫治的160例青少年患者为研究对象，共粘接托槽3 200颗，依据初次安放矫治弓丝之后是否进行电 </w:t>
      </w:r>
    </w:p>
    <w:p w14:paraId="3ABA808C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话回访分为干预组和对照组，每组80例。干预组患者在第1～6个月每个月固定时间给予2次电话回访，进行矫治后注意事项 </w:t>
      </w:r>
    </w:p>
    <w:p w14:paraId="7685CC50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宣教，记录患者每月复诊时托槽脱落情况，并比较分析。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结果：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矫治后1～2个月，干预组托槽脱落率明显低于对照组，差 </w:t>
      </w:r>
    </w:p>
    <w:p w14:paraId="52EE1460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异有显著统计学意义（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＜0.01），第3个月差异具有统计学意义（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＜0.05），第4～6个月托槽脱落率差异不明显，两组中 </w:t>
      </w:r>
    </w:p>
    <w:p w14:paraId="01A1CF84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男性患者正畸初期托槽脱落率均高于女性患者（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P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>＜0.05）。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结论：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青少年患者固定矫治初期，男性患者托槽脱落率相对更 </w:t>
      </w:r>
    </w:p>
    <w:p w14:paraId="12BEFA7B">
      <w:pPr>
        <w:keepNext w:val="0"/>
        <w:keepLines w:val="0"/>
        <w:widowControl/>
        <w:suppressLineNumbers w:val="0"/>
        <w:jc w:val="left"/>
      </w:pP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高；进行电话回访口腔正畸宣教，能够明显减少托槽脱落率。 </w:t>
      </w:r>
    </w:p>
    <w:p w14:paraId="247D242D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[关键词]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电话回访；口腔正畸；青少年；托槽；脱落率 </w:t>
      </w:r>
    </w:p>
    <w:p w14:paraId="37877D09">
      <w:pPr>
        <w:keepNext w:val="0"/>
        <w:keepLines w:val="0"/>
        <w:widowControl/>
        <w:suppressLineNumbers w:val="0"/>
        <w:jc w:val="left"/>
      </w:pP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[中图分类号]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R783.5 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[文献标志码]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B </w:t>
      </w:r>
      <w:r>
        <w:rPr>
          <w:rFonts w:hint="eastAsia" w:ascii="黑体" w:hAnsi="宋体" w:eastAsia="黑体" w:cs="黑体"/>
          <w:color w:val="231F20"/>
          <w:kern w:val="0"/>
          <w:sz w:val="18"/>
          <w:szCs w:val="18"/>
          <w:lang w:val="en-US" w:eastAsia="zh-CN" w:bidi="ar"/>
        </w:rPr>
        <w:t>[文章编号]</w:t>
      </w:r>
      <w:r>
        <w:rPr>
          <w:rFonts w:hint="eastAsia" w:ascii="楷体_GB2312" w:hAnsi="宋体" w:eastAsia="楷体_GB2312" w:cs="楷体_GB2312"/>
          <w:color w:val="231F20"/>
          <w:kern w:val="0"/>
          <w:sz w:val="18"/>
          <w:szCs w:val="18"/>
          <w:lang w:val="en-US" w:eastAsia="zh-CN" w:bidi="ar"/>
        </w:rPr>
        <w:t xml:space="preserve">1008-6455（2024）11-0172-03 </w:t>
      </w:r>
    </w:p>
    <w:p w14:paraId="6DF3D9FD">
      <w:pPr>
        <w:keepNext w:val="0"/>
        <w:keepLines w:val="0"/>
        <w:widowControl/>
        <w:suppressLineNumbers w:val="0"/>
        <w:jc w:val="left"/>
      </w:pPr>
      <w:r>
        <w:rPr>
          <w:rFonts w:ascii="ITC Avant Garde Gothic Demi" w:hAnsi="ITC Avant Garde Gothic Demi" w:eastAsia="ITC Avant Garde Gothic Demi" w:cs="ITC Avant Garde Gothic Demi"/>
          <w:b/>
          <w:bCs/>
          <w:color w:val="231F20"/>
          <w:kern w:val="0"/>
          <w:sz w:val="24"/>
          <w:szCs w:val="24"/>
          <w:lang w:val="en-US" w:eastAsia="zh-CN" w:bidi="ar"/>
        </w:rPr>
        <w:t xml:space="preserve">The Effect of Telephone Follow-up on the Failure Rates of Bonded Brackets in Early </w:t>
      </w:r>
      <w:r>
        <w:rPr>
          <w:rFonts w:ascii="AvantGarde-Demi" w:hAnsi="AvantGarde-Demi" w:eastAsia="AvantGarde-Demi" w:cs="AvantGarde-Demi"/>
          <w:b/>
          <w:bCs/>
          <w:color w:val="231F20"/>
          <w:kern w:val="0"/>
          <w:sz w:val="24"/>
          <w:szCs w:val="24"/>
          <w:lang w:val="en-US" w:eastAsia="zh-CN" w:bidi="ar"/>
        </w:rPr>
        <w:t xml:space="preserve">Orthodontic Stage of Adolescent Patients </w:t>
      </w:r>
    </w:p>
    <w:p w14:paraId="6AA345E7">
      <w:pPr>
        <w:keepNext w:val="0"/>
        <w:keepLines w:val="0"/>
        <w:widowControl/>
        <w:suppressLineNumbers w:val="0"/>
        <w:jc w:val="left"/>
      </w:pPr>
      <w:r>
        <w:rPr>
          <w:rFonts w:ascii="方正兰亭中黑_GBK" w:hAnsi="方正兰亭中黑_GBK" w:eastAsia="方正兰亭中黑_GBK" w:cs="方正兰亭中黑_GBK"/>
          <w:color w:val="231F20"/>
          <w:kern w:val="0"/>
          <w:sz w:val="18"/>
          <w:szCs w:val="18"/>
          <w:lang w:val="en-US" w:eastAsia="zh-CN" w:bidi="ar"/>
        </w:rPr>
        <w:t xml:space="preserve">WANG Shaopeng, ZHANG Yingying, ZHU Tian, XIE Erting </w:t>
      </w:r>
    </w:p>
    <w:p w14:paraId="016F1DB9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( Department of Stomatology, Shenzhen Longhua District People' Hospital, Shenzhen 518110, Guangdong, China ) </w:t>
      </w:r>
    </w:p>
    <w:p w14:paraId="0E2E2CAA">
      <w:pPr>
        <w:keepNext w:val="0"/>
        <w:keepLines w:val="0"/>
        <w:widowControl/>
        <w:suppressLineNumbers w:val="0"/>
        <w:jc w:val="left"/>
      </w:pPr>
      <w:r>
        <w:rPr>
          <w:rFonts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Abstract: Objective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To explore the eff ect of telephone follow-up on the failure rates of bonded brackets in the early stage of </w:t>
      </w:r>
    </w:p>
    <w:p w14:paraId="4DC11987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fixed orthodontic treatment for adolescent patients.</w:t>
      </w: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 Methods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160 adolescent patients with fixed orthodontics in the Dental </w:t>
      </w:r>
    </w:p>
    <w:p w14:paraId="39605031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department of Shenzhen Longhua District People' Hospital from June 2020 to June 2021 were selected, and aged between 12 </w:t>
      </w:r>
    </w:p>
    <w:p w14:paraId="4835B765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to 18,a total of 3200 brackets were bonded. According to whether have a telephone interview after the initial arch wire were </w:t>
      </w:r>
    </w:p>
    <w:p w14:paraId="69E003EC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placed,the patients were divided into intervention group and control group with 80 people in each group. The intervention group </w:t>
      </w:r>
    </w:p>
    <w:p w14:paraId="426ED837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was followed up by telephone at a fi xed time every month from the fi rst to the sixth month and precautions after orthodontics </w:t>
      </w:r>
    </w:p>
    <w:p w14:paraId="045CB697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were taught,the failure rates of brackets was recorded and compared during the follow up visit every month. </w:t>
      </w: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Results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Within </w:t>
      </w:r>
    </w:p>
    <w:p w14:paraId="0DFBA0DA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the first two months ,the brackets falling off rates in the intervention group was significantly lower than that in the control </w:t>
      </w:r>
    </w:p>
    <w:p w14:paraId="72C1E0C1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group(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P</w:t>
      </w:r>
      <w:r>
        <w:rPr>
          <w:rFonts w:hint="eastAsia" w:ascii="宋体" w:hAnsi="宋体" w:eastAsia="宋体" w:cs="宋体"/>
          <w:color w:val="231F20"/>
          <w:kern w:val="0"/>
          <w:sz w:val="19"/>
          <w:szCs w:val="19"/>
          <w:lang w:val="en-US" w:eastAsia="zh-CN" w:bidi="ar"/>
        </w:rPr>
        <w:t>＜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0.01), and there were diff erence between the 3 months (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P</w:t>
      </w:r>
      <w:r>
        <w:rPr>
          <w:rFonts w:hint="eastAsia" w:ascii="宋体" w:hAnsi="宋体" w:eastAsia="宋体" w:cs="宋体"/>
          <w:color w:val="231F20"/>
          <w:kern w:val="0"/>
          <w:sz w:val="19"/>
          <w:szCs w:val="19"/>
          <w:lang w:val="en-US" w:eastAsia="zh-CN" w:bidi="ar"/>
        </w:rPr>
        <w:t>＜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0.05) and 4 to 6 months have no signifi cant diff erence,In </w:t>
      </w:r>
    </w:p>
    <w:p w14:paraId="205A9039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the two groups,the rate of bracket falling off in male patients was higher than that in female patients at the initial stage of </w:t>
      </w:r>
    </w:p>
    <w:p w14:paraId="5720144D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orthodontics,and the diff erence was statistically. </w:t>
      </w: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Conclusion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In the early stage of adolescent wearing fi xed appliances,Male </w:t>
      </w:r>
    </w:p>
    <w:p w14:paraId="510ECEE3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patients have a higher rate of bracket loss;Carry out telephone follow up and orthodontic education, it can signifi cantly reduce </w:t>
      </w:r>
    </w:p>
    <w:p w14:paraId="1E270CE3">
      <w:pPr>
        <w:keepNext w:val="0"/>
        <w:keepLines w:val="0"/>
        <w:widowControl/>
        <w:suppressLineNumbers w:val="0"/>
        <w:jc w:val="left"/>
      </w:pP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 xml:space="preserve">the failure rates of bonded brackets . </w:t>
      </w:r>
    </w:p>
    <w:p w14:paraId="19EE8C2C">
      <w:pPr>
        <w:keepNext w:val="0"/>
        <w:keepLines w:val="0"/>
        <w:widowControl/>
        <w:suppressLineNumbers w:val="0"/>
        <w:jc w:val="left"/>
      </w:pPr>
      <w:r>
        <w:rPr>
          <w:rFonts w:hint="default" w:ascii="Didot-HTF-B06-Bold" w:hAnsi="Didot-HTF-B06-Bold" w:eastAsia="Didot-HTF-B06-Bold" w:cs="Didot-HTF-B06-Bold"/>
          <w:b/>
          <w:bCs/>
          <w:color w:val="231F20"/>
          <w:kern w:val="0"/>
          <w:sz w:val="19"/>
          <w:szCs w:val="19"/>
          <w:lang w:val="en-US" w:eastAsia="zh-CN" w:bidi="ar"/>
        </w:rPr>
        <w:t xml:space="preserve">Key words: </w:t>
      </w:r>
      <w:r>
        <w:rPr>
          <w:rFonts w:hint="default" w:ascii="Times New Roman" w:hAnsi="Times New Roman" w:eastAsia="宋体" w:cs="Times New Roman"/>
          <w:color w:val="231F20"/>
          <w:kern w:val="0"/>
          <w:sz w:val="19"/>
          <w:szCs w:val="19"/>
          <w:lang w:val="en-US" w:eastAsia="zh-CN" w:bidi="ar"/>
        </w:rPr>
        <w:t>telephone follow up; orthodontics; adolescent; bracket; failure rates</w:t>
      </w:r>
    </w:p>
    <w:p w14:paraId="180444A7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ITC Avant Garde Gothic Dem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兰亭中黑_GBK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idot-HTF-B06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vantGarde-Dem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iYTY4ODc3YTBjMzE5ODJjMGY4ZmM0ZjlhNjE3ZTAifQ=="/>
  </w:docVars>
  <w:rsids>
    <w:rsidRoot w:val="00000000"/>
    <w:rsid w:val="00220FF9"/>
    <w:rsid w:val="00CE37E1"/>
    <w:rsid w:val="00F1191B"/>
    <w:rsid w:val="012810B4"/>
    <w:rsid w:val="01DA060F"/>
    <w:rsid w:val="02223D56"/>
    <w:rsid w:val="02C5080A"/>
    <w:rsid w:val="044B7594"/>
    <w:rsid w:val="06942C12"/>
    <w:rsid w:val="083B16CD"/>
    <w:rsid w:val="087846CF"/>
    <w:rsid w:val="097F383C"/>
    <w:rsid w:val="09FB55B8"/>
    <w:rsid w:val="0ADF0A36"/>
    <w:rsid w:val="0C281F69"/>
    <w:rsid w:val="0FA2765C"/>
    <w:rsid w:val="17773DA4"/>
    <w:rsid w:val="17BE7C25"/>
    <w:rsid w:val="19C90156"/>
    <w:rsid w:val="1B1C713C"/>
    <w:rsid w:val="1B913A8E"/>
    <w:rsid w:val="1D921938"/>
    <w:rsid w:val="24236509"/>
    <w:rsid w:val="260E6F69"/>
    <w:rsid w:val="264A7253"/>
    <w:rsid w:val="26CF7759"/>
    <w:rsid w:val="28F811E9"/>
    <w:rsid w:val="29633328"/>
    <w:rsid w:val="2B88437A"/>
    <w:rsid w:val="2D376058"/>
    <w:rsid w:val="304C5976"/>
    <w:rsid w:val="31C01038"/>
    <w:rsid w:val="33124DB8"/>
    <w:rsid w:val="34847DD4"/>
    <w:rsid w:val="34C5219B"/>
    <w:rsid w:val="36055CAE"/>
    <w:rsid w:val="366D71EF"/>
    <w:rsid w:val="3965271A"/>
    <w:rsid w:val="399430B5"/>
    <w:rsid w:val="3AE710BD"/>
    <w:rsid w:val="3C7713A1"/>
    <w:rsid w:val="3DE713D4"/>
    <w:rsid w:val="3E021D6A"/>
    <w:rsid w:val="3E260FAD"/>
    <w:rsid w:val="3EB97EC7"/>
    <w:rsid w:val="445A0232"/>
    <w:rsid w:val="47682E1C"/>
    <w:rsid w:val="47D06A35"/>
    <w:rsid w:val="48621D7C"/>
    <w:rsid w:val="4E9921E6"/>
    <w:rsid w:val="4F310701"/>
    <w:rsid w:val="4F697E9B"/>
    <w:rsid w:val="57103ECE"/>
    <w:rsid w:val="574C0299"/>
    <w:rsid w:val="5A0E1D6B"/>
    <w:rsid w:val="5C9E392E"/>
    <w:rsid w:val="5EE017FC"/>
    <w:rsid w:val="5EF26FBB"/>
    <w:rsid w:val="5F8F74AA"/>
    <w:rsid w:val="5FE13A7D"/>
    <w:rsid w:val="61403D75"/>
    <w:rsid w:val="62D358FF"/>
    <w:rsid w:val="62FD472A"/>
    <w:rsid w:val="63585E05"/>
    <w:rsid w:val="63641857"/>
    <w:rsid w:val="665063AF"/>
    <w:rsid w:val="6809591F"/>
    <w:rsid w:val="69074555"/>
    <w:rsid w:val="6A635006"/>
    <w:rsid w:val="6AAD4C88"/>
    <w:rsid w:val="6BA574C6"/>
    <w:rsid w:val="6C616381"/>
    <w:rsid w:val="71704C61"/>
    <w:rsid w:val="71D90A58"/>
    <w:rsid w:val="746F0D71"/>
    <w:rsid w:val="74DC66FA"/>
    <w:rsid w:val="786D53DD"/>
    <w:rsid w:val="7A770E0E"/>
    <w:rsid w:val="7F156363"/>
    <w:rsid w:val="7F4E1E83"/>
    <w:rsid w:val="7FFD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776</Words>
  <Characters>2196</Characters>
  <Lines>0</Lines>
  <Paragraphs>0</Paragraphs>
  <TotalTime>741</TotalTime>
  <ScaleCrop>false</ScaleCrop>
  <LinksUpToDate>false</LinksUpToDate>
  <CharactersWithSpaces>2517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瓢虫菲菲 </cp:lastModifiedBy>
  <dcterms:modified xsi:type="dcterms:W3CDTF">2024-11-06T02:30:09Z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1F5B48CC34F14398A434667F85ABC174</vt:lpwstr>
  </property>
</Properties>
</file>